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D516" w14:textId="77777777" w:rsidR="003217AB" w:rsidRDefault="003217AB" w:rsidP="003217AB">
      <w:pPr>
        <w:pStyle w:val="Header"/>
        <w:spacing w:after="160"/>
        <w:jc w:val="center"/>
        <w:rPr>
          <w:rFonts w:ascii="Microsoft Sans Serif" w:hAnsi="Microsoft Sans Serif" w:cs="Microsoft Sans Serif"/>
        </w:rPr>
      </w:pPr>
      <w:r>
        <w:rPr>
          <w:rFonts w:ascii="Microsoft Sans Serif" w:hAnsi="Microsoft Sans Serif" w:cs="Microsoft Sans Serif"/>
          <w:noProof/>
        </w:rPr>
        <w:drawing>
          <wp:inline distT="0" distB="0" distL="0" distR="0" wp14:anchorId="0A0DECF3" wp14:editId="5347CC91">
            <wp:extent cx="2743200" cy="615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 Logo Dept CMYK-LgDe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494" cy="620700"/>
                    </a:xfrm>
                    <a:prstGeom prst="rect">
                      <a:avLst/>
                    </a:prstGeom>
                  </pic:spPr>
                </pic:pic>
              </a:graphicData>
            </a:graphic>
          </wp:inline>
        </w:drawing>
      </w:r>
    </w:p>
    <w:p w14:paraId="3F3D7167" w14:textId="77777777" w:rsidR="003217AB" w:rsidRPr="001B388D" w:rsidRDefault="003217AB" w:rsidP="003217AB">
      <w:pPr>
        <w:spacing w:after="400"/>
        <w:jc w:val="center"/>
        <w:rPr>
          <w:rFonts w:ascii="Arial" w:hAnsi="Arial" w:cs="Arial"/>
          <w:b/>
          <w:bCs/>
          <w:sz w:val="16"/>
          <w:szCs w:val="16"/>
        </w:rPr>
      </w:pPr>
      <w:r w:rsidRPr="001B388D">
        <w:rPr>
          <w:noProof/>
          <w:sz w:val="16"/>
          <w:szCs w:val="16"/>
        </w:rPr>
        <mc:AlternateContent>
          <mc:Choice Requires="wps">
            <w:drawing>
              <wp:anchor distT="4294967295" distB="4294967295" distL="114300" distR="114300" simplePos="0" relativeHeight="251659264" behindDoc="0" locked="0" layoutInCell="1" allowOverlap="1" wp14:anchorId="047FB50D" wp14:editId="325171C4">
                <wp:simplePos x="0" y="0"/>
                <wp:positionH relativeFrom="column">
                  <wp:posOffset>-22860</wp:posOffset>
                </wp:positionH>
                <wp:positionV relativeFrom="paragraph">
                  <wp:posOffset>789305</wp:posOffset>
                </wp:positionV>
                <wp:extent cx="63627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8CB03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2.15pt" to="499.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" strokeweight="1.5pt">
                <o:lock v:ext="edit" shapetype="f"/>
              </v:line>
            </w:pict>
          </mc:Fallback>
        </mc:AlternateContent>
      </w:r>
      <w:r w:rsidRPr="001B388D">
        <w:rPr>
          <w:rFonts w:ascii="Microsoft Sans Serif" w:hAnsi="Microsoft Sans Serif" w:cs="Microsoft Sans Serif"/>
          <w:i/>
          <w:color w:val="008000"/>
          <w:sz w:val="16"/>
          <w:szCs w:val="16"/>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r w:rsidRPr="001B388D">
        <w:rPr>
          <w:rFonts w:ascii="Arial" w:hAnsi="Arial" w:cs="Arial"/>
          <w:b/>
          <w:bCs/>
          <w:sz w:val="16"/>
          <w:szCs w:val="16"/>
        </w:rPr>
        <w:t xml:space="preserve"> </w:t>
      </w:r>
    </w:p>
    <w:p w14:paraId="3334500A" w14:textId="77777777" w:rsidR="003217AB" w:rsidRPr="000A2412" w:rsidRDefault="003217AB" w:rsidP="003217AB">
      <w:pPr>
        <w:tabs>
          <w:tab w:val="right" w:pos="9900"/>
        </w:tabs>
        <w:rPr>
          <w:rFonts w:ascii="Arial" w:hAnsi="Arial" w:cs="Arial"/>
          <w:sz w:val="20"/>
          <w:szCs w:val="20"/>
        </w:rPr>
      </w:pPr>
      <w:r>
        <w:rPr>
          <w:rFonts w:ascii="Arial" w:hAnsi="Arial" w:cs="Arial"/>
          <w:sz w:val="20"/>
          <w:szCs w:val="20"/>
        </w:rPr>
        <w:t>17-009</w:t>
      </w:r>
      <w:r w:rsidRPr="000A2412">
        <w:rPr>
          <w:rFonts w:ascii="Arial" w:hAnsi="Arial" w:cs="Arial"/>
          <w:sz w:val="20"/>
          <w:szCs w:val="20"/>
        </w:rPr>
        <w:tab/>
      </w:r>
      <w:r>
        <w:rPr>
          <w:rFonts w:ascii="Arial" w:hAnsi="Arial" w:cs="Arial"/>
          <w:sz w:val="20"/>
          <w:szCs w:val="20"/>
        </w:rPr>
        <w:t>August, 2017</w:t>
      </w:r>
      <w:r w:rsidRPr="000A2412">
        <w:rPr>
          <w:rFonts w:ascii="Arial" w:hAnsi="Arial" w:cs="Arial"/>
          <w:sz w:val="20"/>
          <w:szCs w:val="20"/>
        </w:rPr>
        <w:tab/>
        <w:t xml:space="preserve"> </w:t>
      </w:r>
    </w:p>
    <w:p w14:paraId="78EF5E61" w14:textId="77777777" w:rsidR="003217AB" w:rsidRDefault="003217AB" w:rsidP="003217AB">
      <w:pPr>
        <w:tabs>
          <w:tab w:val="right" w:pos="10080"/>
        </w:tabs>
        <w:rPr>
          <w:sz w:val="18"/>
        </w:rPr>
      </w:pPr>
    </w:p>
    <w:p w14:paraId="1204ABC6" w14:textId="77777777" w:rsidR="00C11DE9" w:rsidRPr="005D3B8D" w:rsidRDefault="00C11DE9">
      <w:pPr>
        <w:rPr>
          <w:b/>
          <w:sz w:val="36"/>
        </w:rPr>
      </w:pPr>
    </w:p>
    <w:p w14:paraId="583E7A35" w14:textId="77777777" w:rsidR="00C11DE9" w:rsidRPr="00654A51" w:rsidRDefault="00FB19E7" w:rsidP="00FB19E7">
      <w:pPr>
        <w:jc w:val="center"/>
        <w:rPr>
          <w:b/>
          <w:sz w:val="44"/>
        </w:rPr>
      </w:pPr>
      <w:r w:rsidRPr="00654A51">
        <w:rPr>
          <w:b/>
          <w:sz w:val="44"/>
        </w:rPr>
        <w:t xml:space="preserve">PSD and </w:t>
      </w:r>
      <w:r w:rsidR="00AC1B8B" w:rsidRPr="00654A51">
        <w:rPr>
          <w:b/>
          <w:sz w:val="44"/>
        </w:rPr>
        <w:t>Minor Source Modeling</w:t>
      </w:r>
    </w:p>
    <w:p w14:paraId="6FE334B1" w14:textId="77777777" w:rsidR="00C11DE9" w:rsidRPr="0039036E" w:rsidRDefault="00C11DE9">
      <w:pPr>
        <w:rPr>
          <w:b/>
          <w:sz w:val="28"/>
        </w:rPr>
      </w:pPr>
    </w:p>
    <w:p w14:paraId="7A696AA6" w14:textId="77777777" w:rsidR="00C11DE9" w:rsidRPr="0039036E" w:rsidRDefault="00C11DE9">
      <w:pPr>
        <w:rPr>
          <w:b/>
          <w:sz w:val="28"/>
        </w:rPr>
      </w:pPr>
    </w:p>
    <w:p w14:paraId="392D685A" w14:textId="77777777" w:rsidR="00654A51" w:rsidRDefault="00D9295E" w:rsidP="00654A51">
      <w:pPr>
        <w:jc w:val="center"/>
        <w:rPr>
          <w:b/>
          <w:sz w:val="36"/>
        </w:rPr>
      </w:pPr>
      <w:r>
        <w:rPr>
          <w:b/>
          <w:sz w:val="36"/>
        </w:rPr>
        <w:t xml:space="preserve">NDEQ’s </w:t>
      </w:r>
      <w:r w:rsidR="00654A51" w:rsidRPr="00654A51">
        <w:rPr>
          <w:b/>
          <w:sz w:val="36"/>
        </w:rPr>
        <w:t>Ambient Air Impact Analysis Guideline for P</w:t>
      </w:r>
      <w:r w:rsidR="00E05A92">
        <w:rPr>
          <w:b/>
          <w:sz w:val="36"/>
        </w:rPr>
        <w:t>er</w:t>
      </w:r>
      <w:r w:rsidR="00654A51" w:rsidRPr="00654A51">
        <w:rPr>
          <w:b/>
          <w:sz w:val="36"/>
        </w:rPr>
        <w:t>forming Stationary Source Air Quality Modeling in Nebraska</w:t>
      </w:r>
    </w:p>
    <w:p w14:paraId="1E091CE3" w14:textId="77777777" w:rsidR="00D9295E" w:rsidRPr="00654A51" w:rsidRDefault="00D9295E" w:rsidP="00CA1232">
      <w:pPr>
        <w:rPr>
          <w:b/>
          <w:sz w:val="36"/>
        </w:rPr>
      </w:pPr>
    </w:p>
    <w:p w14:paraId="5EA60249" w14:textId="77777777" w:rsidR="00C11DE9" w:rsidRDefault="00C11DE9">
      <w:pPr>
        <w:rPr>
          <w:b/>
          <w:sz w:val="28"/>
        </w:rPr>
      </w:pPr>
    </w:p>
    <w:p w14:paraId="21B291D9" w14:textId="77777777" w:rsidR="00CA5C02" w:rsidRDefault="00CA5C02">
      <w:pPr>
        <w:rPr>
          <w:b/>
          <w:sz w:val="28"/>
        </w:rPr>
      </w:pPr>
    </w:p>
    <w:p w14:paraId="5A91F7D0" w14:textId="77777777" w:rsidR="00CA5C02" w:rsidRDefault="00CA5C02">
      <w:pPr>
        <w:rPr>
          <w:b/>
          <w:sz w:val="28"/>
        </w:rPr>
      </w:pPr>
    </w:p>
    <w:p w14:paraId="2CDCD96E" w14:textId="77777777" w:rsidR="00CA5C02" w:rsidRDefault="00CA5C02">
      <w:pPr>
        <w:rPr>
          <w:b/>
          <w:sz w:val="28"/>
        </w:rPr>
      </w:pPr>
    </w:p>
    <w:p w14:paraId="2F8E15E5" w14:textId="77777777" w:rsidR="00CA5C02" w:rsidRDefault="00CA5C02">
      <w:pPr>
        <w:rPr>
          <w:b/>
          <w:sz w:val="28"/>
        </w:rPr>
      </w:pPr>
    </w:p>
    <w:p w14:paraId="78EAD039" w14:textId="77777777" w:rsidR="00CA5C02" w:rsidRDefault="00CA5C02">
      <w:pPr>
        <w:rPr>
          <w:b/>
          <w:sz w:val="28"/>
        </w:rPr>
      </w:pPr>
    </w:p>
    <w:p w14:paraId="63431956" w14:textId="77777777" w:rsidR="007C5FF4" w:rsidRDefault="007C5FF4">
      <w:pPr>
        <w:rPr>
          <w:b/>
          <w:sz w:val="28"/>
        </w:rPr>
      </w:pPr>
    </w:p>
    <w:p w14:paraId="202FD12F" w14:textId="77777777" w:rsidR="007C5FF4" w:rsidRDefault="007C5FF4">
      <w:pPr>
        <w:rPr>
          <w:b/>
          <w:sz w:val="28"/>
        </w:rPr>
      </w:pPr>
    </w:p>
    <w:p w14:paraId="6578C2DA" w14:textId="77777777" w:rsidR="007C5FF4" w:rsidRDefault="007C5FF4">
      <w:pPr>
        <w:rPr>
          <w:b/>
          <w:sz w:val="28"/>
        </w:rPr>
      </w:pPr>
    </w:p>
    <w:p w14:paraId="64D809AC" w14:textId="77777777" w:rsidR="00CA5C02" w:rsidRDefault="00CA5C02">
      <w:pPr>
        <w:rPr>
          <w:b/>
          <w:sz w:val="28"/>
        </w:rPr>
      </w:pPr>
    </w:p>
    <w:p w14:paraId="4EF7FB94" w14:textId="77777777" w:rsidR="003217AB" w:rsidRDefault="003217AB">
      <w:pPr>
        <w:rPr>
          <w:b/>
          <w:sz w:val="28"/>
        </w:rPr>
      </w:pPr>
    </w:p>
    <w:p w14:paraId="1A7B2C6B" w14:textId="77777777" w:rsidR="00CA5C02" w:rsidRPr="0039036E" w:rsidRDefault="00CA5C02">
      <w:pPr>
        <w:rPr>
          <w:b/>
          <w:sz w:val="28"/>
        </w:rPr>
      </w:pPr>
    </w:p>
    <w:p w14:paraId="0263BB93" w14:textId="77777777" w:rsidR="00C11DE9" w:rsidRPr="0039036E" w:rsidRDefault="00890A4B" w:rsidP="00CA1232">
      <w:pPr>
        <w:jc w:val="center"/>
        <w:rPr>
          <w:b/>
          <w:sz w:val="28"/>
        </w:rPr>
      </w:pPr>
      <w:r>
        <w:rPr>
          <w:b/>
          <w:sz w:val="28"/>
        </w:rPr>
        <w:t>Nebraska Department of Environmental Quality</w:t>
      </w:r>
    </w:p>
    <w:p w14:paraId="471F9A71" w14:textId="77777777" w:rsidR="00572E34" w:rsidRPr="0039036E" w:rsidRDefault="00890A4B" w:rsidP="00572E34">
      <w:pPr>
        <w:jc w:val="center"/>
        <w:rPr>
          <w:b/>
          <w:sz w:val="28"/>
        </w:rPr>
      </w:pPr>
      <w:r>
        <w:rPr>
          <w:b/>
          <w:sz w:val="28"/>
        </w:rPr>
        <w:t>August</w:t>
      </w:r>
      <w:r w:rsidR="00C11DE9" w:rsidRPr="0039036E">
        <w:rPr>
          <w:b/>
          <w:sz w:val="28"/>
        </w:rPr>
        <w:t xml:space="preserve"> 201</w:t>
      </w:r>
      <w:r w:rsidR="00AC1B8B" w:rsidRPr="0039036E">
        <w:rPr>
          <w:b/>
          <w:sz w:val="28"/>
        </w:rPr>
        <w:t>7</w:t>
      </w:r>
    </w:p>
    <w:p w14:paraId="2274C90E" w14:textId="77777777" w:rsidR="0059605F" w:rsidRPr="0039036E" w:rsidRDefault="0059605F" w:rsidP="00CA1232">
      <w:pPr>
        <w:rPr>
          <w:b/>
          <w:sz w:val="28"/>
        </w:rPr>
      </w:pPr>
    </w:p>
    <w:p w14:paraId="7551ED0F" w14:textId="77777777" w:rsidR="0059605F" w:rsidRPr="0039036E" w:rsidRDefault="0059605F" w:rsidP="00CA1232">
      <w:pPr>
        <w:rPr>
          <w:b/>
          <w:sz w:val="28"/>
        </w:rPr>
      </w:pPr>
    </w:p>
    <w:p w14:paraId="63004385" w14:textId="77777777" w:rsidR="0059605F" w:rsidRPr="005B3D0C" w:rsidRDefault="0059605F" w:rsidP="00CA1232">
      <w:pPr>
        <w:rPr>
          <w:b/>
        </w:rPr>
      </w:pPr>
    </w:p>
    <w:p w14:paraId="1C2B34E3" w14:textId="77777777" w:rsidR="0059605F" w:rsidRPr="005B3D0C" w:rsidRDefault="0059605F" w:rsidP="00CA1232">
      <w:pPr>
        <w:rPr>
          <w:b/>
        </w:rPr>
      </w:pPr>
    </w:p>
    <w:p w14:paraId="4098ADB3" w14:textId="77777777" w:rsidR="0059605F" w:rsidRPr="005B3D0C" w:rsidRDefault="0059605F" w:rsidP="00CA1232">
      <w:pPr>
        <w:rPr>
          <w:b/>
        </w:rPr>
      </w:pPr>
    </w:p>
    <w:p w14:paraId="3C4C7F93" w14:textId="77777777" w:rsidR="0059605F" w:rsidRPr="005B3D0C" w:rsidRDefault="0059605F" w:rsidP="00CA1232">
      <w:pPr>
        <w:rPr>
          <w:b/>
        </w:rPr>
      </w:pPr>
    </w:p>
    <w:p w14:paraId="5DC6F22F" w14:textId="77777777" w:rsidR="0059605F" w:rsidRPr="005B3D0C" w:rsidRDefault="0059605F" w:rsidP="00CA1232">
      <w:pPr>
        <w:rPr>
          <w:b/>
        </w:rPr>
      </w:pPr>
    </w:p>
    <w:p w14:paraId="3445CF5D" w14:textId="77777777" w:rsidR="00D9295E" w:rsidRDefault="00D9295E">
      <w:pPr>
        <w:rPr>
          <w:b/>
        </w:rPr>
      </w:pPr>
      <w:r>
        <w:rPr>
          <w:b/>
        </w:rPr>
        <w:br w:type="page"/>
      </w:r>
    </w:p>
    <w:p w14:paraId="7530F7E7" w14:textId="77777777" w:rsidR="0059605F" w:rsidRPr="005B3D0C" w:rsidRDefault="0059605F" w:rsidP="00CA1232">
      <w:pPr>
        <w:rPr>
          <w:b/>
        </w:rPr>
      </w:pPr>
    </w:p>
    <w:p w14:paraId="72A33FF1" w14:textId="77777777" w:rsidR="007553F7" w:rsidRPr="00B953E3" w:rsidRDefault="007553F7" w:rsidP="007553F7">
      <w:pPr>
        <w:jc w:val="center"/>
        <w:rPr>
          <w:b/>
          <w:sz w:val="28"/>
        </w:rPr>
      </w:pPr>
      <w:r w:rsidRPr="00B953E3">
        <w:rPr>
          <w:b/>
          <w:sz w:val="28"/>
        </w:rPr>
        <w:t xml:space="preserve">Table </w:t>
      </w:r>
      <w:r w:rsidR="00D9295E" w:rsidRPr="00B953E3">
        <w:rPr>
          <w:b/>
          <w:sz w:val="28"/>
        </w:rPr>
        <w:t>o</w:t>
      </w:r>
      <w:r w:rsidRPr="00B953E3">
        <w:rPr>
          <w:b/>
          <w:sz w:val="28"/>
        </w:rPr>
        <w:t>f Contents</w:t>
      </w:r>
    </w:p>
    <w:sdt>
      <w:sdtPr>
        <w:rPr>
          <w:rFonts w:ascii="Times New Roman" w:eastAsia="Times New Roman" w:hAnsi="Times New Roman" w:cs="Times New Roman"/>
          <w:b w:val="0"/>
          <w:bCs w:val="0"/>
          <w:color w:val="auto"/>
          <w:sz w:val="22"/>
          <w:szCs w:val="22"/>
          <w:lang w:eastAsia="en-US"/>
        </w:rPr>
        <w:id w:val="-1658608131"/>
        <w:docPartObj>
          <w:docPartGallery w:val="Table of Contents"/>
          <w:docPartUnique/>
        </w:docPartObj>
      </w:sdtPr>
      <w:sdtEndPr>
        <w:rPr>
          <w:noProof/>
        </w:rPr>
      </w:sdtEndPr>
      <w:sdtContent>
        <w:p w14:paraId="7BD8F775" w14:textId="77777777" w:rsidR="00B953E3" w:rsidRDefault="00B953E3">
          <w:pPr>
            <w:pStyle w:val="TOCHeading"/>
          </w:pPr>
        </w:p>
        <w:p w14:paraId="4D9A4DE5" w14:textId="77777777" w:rsidR="00BA510F" w:rsidRDefault="00B953E3">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89256233" w:history="1">
            <w:r w:rsidR="00BA510F" w:rsidRPr="00C37525">
              <w:rPr>
                <w:rStyle w:val="Hyperlink"/>
                <w:noProof/>
              </w:rPr>
              <w:t>List of Acronyms</w:t>
            </w:r>
            <w:r w:rsidR="00BA510F">
              <w:rPr>
                <w:noProof/>
                <w:webHidden/>
              </w:rPr>
              <w:tab/>
            </w:r>
            <w:r w:rsidR="00BA510F">
              <w:rPr>
                <w:noProof/>
                <w:webHidden/>
              </w:rPr>
              <w:fldChar w:fldCharType="begin"/>
            </w:r>
            <w:r w:rsidR="00BA510F">
              <w:rPr>
                <w:noProof/>
                <w:webHidden/>
              </w:rPr>
              <w:instrText xml:space="preserve"> PAGEREF _Toc489256233 \h </w:instrText>
            </w:r>
            <w:r w:rsidR="00BA510F">
              <w:rPr>
                <w:noProof/>
                <w:webHidden/>
              </w:rPr>
            </w:r>
            <w:r w:rsidR="00BA510F">
              <w:rPr>
                <w:noProof/>
                <w:webHidden/>
              </w:rPr>
              <w:fldChar w:fldCharType="separate"/>
            </w:r>
            <w:r w:rsidR="00BA510F">
              <w:rPr>
                <w:noProof/>
                <w:webHidden/>
              </w:rPr>
              <w:t>2</w:t>
            </w:r>
            <w:r w:rsidR="00BA510F">
              <w:rPr>
                <w:noProof/>
                <w:webHidden/>
              </w:rPr>
              <w:fldChar w:fldCharType="end"/>
            </w:r>
          </w:hyperlink>
        </w:p>
        <w:p w14:paraId="33AB36EA" w14:textId="77777777" w:rsidR="00BA510F" w:rsidRDefault="00000000">
          <w:pPr>
            <w:pStyle w:val="TOC1"/>
            <w:tabs>
              <w:tab w:val="right" w:leader="dot" w:pos="9350"/>
            </w:tabs>
            <w:rPr>
              <w:rFonts w:asciiTheme="minorHAnsi" w:eastAsiaTheme="minorEastAsia" w:hAnsiTheme="minorHAnsi" w:cstheme="minorBidi"/>
              <w:noProof/>
            </w:rPr>
          </w:pPr>
          <w:hyperlink w:anchor="_Toc489256234" w:history="1">
            <w:r w:rsidR="00BA510F" w:rsidRPr="00C37525">
              <w:rPr>
                <w:rStyle w:val="Hyperlink"/>
                <w:noProof/>
              </w:rPr>
              <w:t>Introduction</w:t>
            </w:r>
            <w:r w:rsidR="00BA510F">
              <w:rPr>
                <w:noProof/>
                <w:webHidden/>
              </w:rPr>
              <w:tab/>
            </w:r>
            <w:r w:rsidR="00BA510F">
              <w:rPr>
                <w:noProof/>
                <w:webHidden/>
              </w:rPr>
              <w:fldChar w:fldCharType="begin"/>
            </w:r>
            <w:r w:rsidR="00BA510F">
              <w:rPr>
                <w:noProof/>
                <w:webHidden/>
              </w:rPr>
              <w:instrText xml:space="preserve"> PAGEREF _Toc489256234 \h </w:instrText>
            </w:r>
            <w:r w:rsidR="00BA510F">
              <w:rPr>
                <w:noProof/>
                <w:webHidden/>
              </w:rPr>
            </w:r>
            <w:r w:rsidR="00BA510F">
              <w:rPr>
                <w:noProof/>
                <w:webHidden/>
              </w:rPr>
              <w:fldChar w:fldCharType="separate"/>
            </w:r>
            <w:r w:rsidR="00BA510F">
              <w:rPr>
                <w:noProof/>
                <w:webHidden/>
              </w:rPr>
              <w:t>3</w:t>
            </w:r>
            <w:r w:rsidR="00BA510F">
              <w:rPr>
                <w:noProof/>
                <w:webHidden/>
              </w:rPr>
              <w:fldChar w:fldCharType="end"/>
            </w:r>
          </w:hyperlink>
        </w:p>
        <w:p w14:paraId="4A6677FD" w14:textId="77777777" w:rsidR="00BA510F" w:rsidRDefault="00000000">
          <w:pPr>
            <w:pStyle w:val="TOC1"/>
            <w:tabs>
              <w:tab w:val="right" w:leader="dot" w:pos="9350"/>
            </w:tabs>
            <w:rPr>
              <w:rFonts w:asciiTheme="minorHAnsi" w:eastAsiaTheme="minorEastAsia" w:hAnsiTheme="minorHAnsi" w:cstheme="minorBidi"/>
              <w:noProof/>
            </w:rPr>
          </w:pPr>
          <w:hyperlink w:anchor="_Toc489256235" w:history="1">
            <w:r w:rsidR="00BA510F" w:rsidRPr="00C37525">
              <w:rPr>
                <w:rStyle w:val="Hyperlink"/>
                <w:noProof/>
              </w:rPr>
              <w:t>When is Modeling Required?</w:t>
            </w:r>
            <w:r w:rsidR="00BA510F">
              <w:rPr>
                <w:noProof/>
                <w:webHidden/>
              </w:rPr>
              <w:tab/>
            </w:r>
            <w:r w:rsidR="00BA510F">
              <w:rPr>
                <w:noProof/>
                <w:webHidden/>
              </w:rPr>
              <w:fldChar w:fldCharType="begin"/>
            </w:r>
            <w:r w:rsidR="00BA510F">
              <w:rPr>
                <w:noProof/>
                <w:webHidden/>
              </w:rPr>
              <w:instrText xml:space="preserve"> PAGEREF _Toc489256235 \h </w:instrText>
            </w:r>
            <w:r w:rsidR="00BA510F">
              <w:rPr>
                <w:noProof/>
                <w:webHidden/>
              </w:rPr>
            </w:r>
            <w:r w:rsidR="00BA510F">
              <w:rPr>
                <w:noProof/>
                <w:webHidden/>
              </w:rPr>
              <w:fldChar w:fldCharType="separate"/>
            </w:r>
            <w:r w:rsidR="00BA510F">
              <w:rPr>
                <w:noProof/>
                <w:webHidden/>
              </w:rPr>
              <w:t>3</w:t>
            </w:r>
            <w:r w:rsidR="00BA510F">
              <w:rPr>
                <w:noProof/>
                <w:webHidden/>
              </w:rPr>
              <w:fldChar w:fldCharType="end"/>
            </w:r>
          </w:hyperlink>
        </w:p>
        <w:p w14:paraId="5815FB9A" w14:textId="77777777" w:rsidR="00BA510F" w:rsidRDefault="00000000">
          <w:pPr>
            <w:pStyle w:val="TOC1"/>
            <w:tabs>
              <w:tab w:val="right" w:leader="dot" w:pos="9350"/>
            </w:tabs>
            <w:rPr>
              <w:rFonts w:asciiTheme="minorHAnsi" w:eastAsiaTheme="minorEastAsia" w:hAnsiTheme="minorHAnsi" w:cstheme="minorBidi"/>
              <w:noProof/>
            </w:rPr>
          </w:pPr>
          <w:hyperlink w:anchor="_Toc489256236" w:history="1">
            <w:r w:rsidR="00BA510F" w:rsidRPr="00C37525">
              <w:rPr>
                <w:rStyle w:val="Hyperlink"/>
                <w:noProof/>
              </w:rPr>
              <w:t>Air Dispersion Modeling Protocol</w:t>
            </w:r>
            <w:r w:rsidR="00BA510F">
              <w:rPr>
                <w:noProof/>
                <w:webHidden/>
              </w:rPr>
              <w:tab/>
            </w:r>
            <w:r w:rsidR="00BA510F">
              <w:rPr>
                <w:noProof/>
                <w:webHidden/>
              </w:rPr>
              <w:fldChar w:fldCharType="begin"/>
            </w:r>
            <w:r w:rsidR="00BA510F">
              <w:rPr>
                <w:noProof/>
                <w:webHidden/>
              </w:rPr>
              <w:instrText xml:space="preserve"> PAGEREF _Toc489256236 \h </w:instrText>
            </w:r>
            <w:r w:rsidR="00BA510F">
              <w:rPr>
                <w:noProof/>
                <w:webHidden/>
              </w:rPr>
            </w:r>
            <w:r w:rsidR="00BA510F">
              <w:rPr>
                <w:noProof/>
                <w:webHidden/>
              </w:rPr>
              <w:fldChar w:fldCharType="separate"/>
            </w:r>
            <w:r w:rsidR="00BA510F">
              <w:rPr>
                <w:noProof/>
                <w:webHidden/>
              </w:rPr>
              <w:t>4</w:t>
            </w:r>
            <w:r w:rsidR="00BA510F">
              <w:rPr>
                <w:noProof/>
                <w:webHidden/>
              </w:rPr>
              <w:fldChar w:fldCharType="end"/>
            </w:r>
          </w:hyperlink>
        </w:p>
        <w:p w14:paraId="5E6222DA" w14:textId="77777777" w:rsidR="00BA510F" w:rsidRDefault="00000000">
          <w:pPr>
            <w:pStyle w:val="TOC1"/>
            <w:tabs>
              <w:tab w:val="right" w:leader="dot" w:pos="9350"/>
            </w:tabs>
            <w:rPr>
              <w:rFonts w:asciiTheme="minorHAnsi" w:eastAsiaTheme="minorEastAsia" w:hAnsiTheme="minorHAnsi" w:cstheme="minorBidi"/>
              <w:noProof/>
            </w:rPr>
          </w:pPr>
          <w:hyperlink w:anchor="_Toc489256237" w:history="1">
            <w:r w:rsidR="00BA510F" w:rsidRPr="00C37525">
              <w:rPr>
                <w:rStyle w:val="Hyperlink"/>
                <w:noProof/>
              </w:rPr>
              <w:t>Final Modeling Report</w:t>
            </w:r>
            <w:r w:rsidR="00BA510F">
              <w:rPr>
                <w:noProof/>
                <w:webHidden/>
              </w:rPr>
              <w:tab/>
            </w:r>
            <w:r w:rsidR="00BA510F">
              <w:rPr>
                <w:noProof/>
                <w:webHidden/>
              </w:rPr>
              <w:fldChar w:fldCharType="begin"/>
            </w:r>
            <w:r w:rsidR="00BA510F">
              <w:rPr>
                <w:noProof/>
                <w:webHidden/>
              </w:rPr>
              <w:instrText xml:space="preserve"> PAGEREF _Toc489256237 \h </w:instrText>
            </w:r>
            <w:r w:rsidR="00BA510F">
              <w:rPr>
                <w:noProof/>
                <w:webHidden/>
              </w:rPr>
            </w:r>
            <w:r w:rsidR="00BA510F">
              <w:rPr>
                <w:noProof/>
                <w:webHidden/>
              </w:rPr>
              <w:fldChar w:fldCharType="separate"/>
            </w:r>
            <w:r w:rsidR="00BA510F">
              <w:rPr>
                <w:noProof/>
                <w:webHidden/>
              </w:rPr>
              <w:t>4</w:t>
            </w:r>
            <w:r w:rsidR="00BA510F">
              <w:rPr>
                <w:noProof/>
                <w:webHidden/>
              </w:rPr>
              <w:fldChar w:fldCharType="end"/>
            </w:r>
          </w:hyperlink>
        </w:p>
        <w:p w14:paraId="75DFF237" w14:textId="77777777" w:rsidR="00BA510F" w:rsidRDefault="00000000">
          <w:pPr>
            <w:pStyle w:val="TOC1"/>
            <w:tabs>
              <w:tab w:val="right" w:leader="dot" w:pos="9350"/>
            </w:tabs>
            <w:rPr>
              <w:rFonts w:asciiTheme="minorHAnsi" w:eastAsiaTheme="minorEastAsia" w:hAnsiTheme="minorHAnsi" w:cstheme="minorBidi"/>
              <w:noProof/>
            </w:rPr>
          </w:pPr>
          <w:hyperlink w:anchor="_Toc489256238" w:history="1">
            <w:r w:rsidR="00BA510F" w:rsidRPr="00C37525">
              <w:rPr>
                <w:rStyle w:val="Hyperlink"/>
                <w:noProof/>
              </w:rPr>
              <w:t>Pre-Application Meeting</w:t>
            </w:r>
            <w:r w:rsidR="00BA510F">
              <w:rPr>
                <w:noProof/>
                <w:webHidden/>
              </w:rPr>
              <w:tab/>
            </w:r>
            <w:r w:rsidR="00BA510F">
              <w:rPr>
                <w:noProof/>
                <w:webHidden/>
              </w:rPr>
              <w:fldChar w:fldCharType="begin"/>
            </w:r>
            <w:r w:rsidR="00BA510F">
              <w:rPr>
                <w:noProof/>
                <w:webHidden/>
              </w:rPr>
              <w:instrText xml:space="preserve"> PAGEREF _Toc489256238 \h </w:instrText>
            </w:r>
            <w:r w:rsidR="00BA510F">
              <w:rPr>
                <w:noProof/>
                <w:webHidden/>
              </w:rPr>
            </w:r>
            <w:r w:rsidR="00BA510F">
              <w:rPr>
                <w:noProof/>
                <w:webHidden/>
              </w:rPr>
              <w:fldChar w:fldCharType="separate"/>
            </w:r>
            <w:r w:rsidR="00BA510F">
              <w:rPr>
                <w:noProof/>
                <w:webHidden/>
              </w:rPr>
              <w:t>5</w:t>
            </w:r>
            <w:r w:rsidR="00BA510F">
              <w:rPr>
                <w:noProof/>
                <w:webHidden/>
              </w:rPr>
              <w:fldChar w:fldCharType="end"/>
            </w:r>
          </w:hyperlink>
        </w:p>
        <w:p w14:paraId="2B5C0CD6" w14:textId="77777777" w:rsidR="00BA510F" w:rsidRDefault="00000000">
          <w:pPr>
            <w:pStyle w:val="TOC1"/>
            <w:tabs>
              <w:tab w:val="right" w:leader="dot" w:pos="9350"/>
            </w:tabs>
            <w:rPr>
              <w:rFonts w:asciiTheme="minorHAnsi" w:eastAsiaTheme="minorEastAsia" w:hAnsiTheme="minorHAnsi" w:cstheme="minorBidi"/>
              <w:noProof/>
            </w:rPr>
          </w:pPr>
          <w:hyperlink w:anchor="_Toc489256239" w:history="1">
            <w:r w:rsidR="00BA510F" w:rsidRPr="00C37525">
              <w:rPr>
                <w:rStyle w:val="Hyperlink"/>
                <w:noProof/>
              </w:rPr>
              <w:t>Preconstruction Monitoring</w:t>
            </w:r>
            <w:r w:rsidR="00BA510F">
              <w:rPr>
                <w:noProof/>
                <w:webHidden/>
              </w:rPr>
              <w:tab/>
            </w:r>
            <w:r w:rsidR="00BA510F">
              <w:rPr>
                <w:noProof/>
                <w:webHidden/>
              </w:rPr>
              <w:fldChar w:fldCharType="begin"/>
            </w:r>
            <w:r w:rsidR="00BA510F">
              <w:rPr>
                <w:noProof/>
                <w:webHidden/>
              </w:rPr>
              <w:instrText xml:space="preserve"> PAGEREF _Toc489256239 \h </w:instrText>
            </w:r>
            <w:r w:rsidR="00BA510F">
              <w:rPr>
                <w:noProof/>
                <w:webHidden/>
              </w:rPr>
            </w:r>
            <w:r w:rsidR="00BA510F">
              <w:rPr>
                <w:noProof/>
                <w:webHidden/>
              </w:rPr>
              <w:fldChar w:fldCharType="separate"/>
            </w:r>
            <w:r w:rsidR="00BA510F">
              <w:rPr>
                <w:noProof/>
                <w:webHidden/>
              </w:rPr>
              <w:t>5</w:t>
            </w:r>
            <w:r w:rsidR="00BA510F">
              <w:rPr>
                <w:noProof/>
                <w:webHidden/>
              </w:rPr>
              <w:fldChar w:fldCharType="end"/>
            </w:r>
          </w:hyperlink>
        </w:p>
        <w:p w14:paraId="0565341B" w14:textId="77777777" w:rsidR="00BA510F" w:rsidRDefault="00000000">
          <w:pPr>
            <w:pStyle w:val="TOC1"/>
            <w:tabs>
              <w:tab w:val="right" w:leader="dot" w:pos="9350"/>
            </w:tabs>
            <w:rPr>
              <w:rFonts w:asciiTheme="minorHAnsi" w:eastAsiaTheme="minorEastAsia" w:hAnsiTheme="minorHAnsi" w:cstheme="minorBidi"/>
              <w:noProof/>
            </w:rPr>
          </w:pPr>
          <w:hyperlink w:anchor="_Toc489256240" w:history="1">
            <w:r w:rsidR="00BA510F" w:rsidRPr="00C37525">
              <w:rPr>
                <w:rStyle w:val="Hyperlink"/>
                <w:noProof/>
              </w:rPr>
              <w:t>Significant Impact Analysis</w:t>
            </w:r>
            <w:r w:rsidR="00BA510F">
              <w:rPr>
                <w:noProof/>
                <w:webHidden/>
              </w:rPr>
              <w:tab/>
            </w:r>
            <w:r w:rsidR="00BA510F">
              <w:rPr>
                <w:noProof/>
                <w:webHidden/>
              </w:rPr>
              <w:fldChar w:fldCharType="begin"/>
            </w:r>
            <w:r w:rsidR="00BA510F">
              <w:rPr>
                <w:noProof/>
                <w:webHidden/>
              </w:rPr>
              <w:instrText xml:space="preserve"> PAGEREF _Toc489256240 \h </w:instrText>
            </w:r>
            <w:r w:rsidR="00BA510F">
              <w:rPr>
                <w:noProof/>
                <w:webHidden/>
              </w:rPr>
            </w:r>
            <w:r w:rsidR="00BA510F">
              <w:rPr>
                <w:noProof/>
                <w:webHidden/>
              </w:rPr>
              <w:fldChar w:fldCharType="separate"/>
            </w:r>
            <w:r w:rsidR="00BA510F">
              <w:rPr>
                <w:noProof/>
                <w:webHidden/>
              </w:rPr>
              <w:t>6</w:t>
            </w:r>
            <w:r w:rsidR="00BA510F">
              <w:rPr>
                <w:noProof/>
                <w:webHidden/>
              </w:rPr>
              <w:fldChar w:fldCharType="end"/>
            </w:r>
          </w:hyperlink>
        </w:p>
        <w:p w14:paraId="168C926E" w14:textId="77777777" w:rsidR="00BA510F" w:rsidRDefault="00000000">
          <w:pPr>
            <w:pStyle w:val="TOC1"/>
            <w:tabs>
              <w:tab w:val="right" w:leader="dot" w:pos="9350"/>
            </w:tabs>
            <w:rPr>
              <w:rFonts w:asciiTheme="minorHAnsi" w:eastAsiaTheme="minorEastAsia" w:hAnsiTheme="minorHAnsi" w:cstheme="minorBidi"/>
              <w:noProof/>
            </w:rPr>
          </w:pPr>
          <w:hyperlink w:anchor="_Toc489256241" w:history="1">
            <w:r w:rsidR="00BA510F" w:rsidRPr="00C37525">
              <w:rPr>
                <w:rStyle w:val="Hyperlink"/>
                <w:noProof/>
              </w:rPr>
              <w:t>Model Selection and Options</w:t>
            </w:r>
            <w:r w:rsidR="00BA510F">
              <w:rPr>
                <w:noProof/>
                <w:webHidden/>
              </w:rPr>
              <w:tab/>
            </w:r>
            <w:r w:rsidR="00BA510F">
              <w:rPr>
                <w:noProof/>
                <w:webHidden/>
              </w:rPr>
              <w:fldChar w:fldCharType="begin"/>
            </w:r>
            <w:r w:rsidR="00BA510F">
              <w:rPr>
                <w:noProof/>
                <w:webHidden/>
              </w:rPr>
              <w:instrText xml:space="preserve"> PAGEREF _Toc489256241 \h </w:instrText>
            </w:r>
            <w:r w:rsidR="00BA510F">
              <w:rPr>
                <w:noProof/>
                <w:webHidden/>
              </w:rPr>
            </w:r>
            <w:r w:rsidR="00BA510F">
              <w:rPr>
                <w:noProof/>
                <w:webHidden/>
              </w:rPr>
              <w:fldChar w:fldCharType="separate"/>
            </w:r>
            <w:r w:rsidR="00BA510F">
              <w:rPr>
                <w:noProof/>
                <w:webHidden/>
              </w:rPr>
              <w:t>8</w:t>
            </w:r>
            <w:r w:rsidR="00BA510F">
              <w:rPr>
                <w:noProof/>
                <w:webHidden/>
              </w:rPr>
              <w:fldChar w:fldCharType="end"/>
            </w:r>
          </w:hyperlink>
        </w:p>
        <w:p w14:paraId="29DA364B" w14:textId="77777777" w:rsidR="00BA510F" w:rsidRDefault="00000000">
          <w:pPr>
            <w:pStyle w:val="TOC1"/>
            <w:tabs>
              <w:tab w:val="right" w:leader="dot" w:pos="9350"/>
            </w:tabs>
            <w:rPr>
              <w:rFonts w:asciiTheme="minorHAnsi" w:eastAsiaTheme="minorEastAsia" w:hAnsiTheme="minorHAnsi" w:cstheme="minorBidi"/>
              <w:noProof/>
            </w:rPr>
          </w:pPr>
          <w:hyperlink w:anchor="_Toc489256242" w:history="1">
            <w:r w:rsidR="00BA510F" w:rsidRPr="00C37525">
              <w:rPr>
                <w:rStyle w:val="Hyperlink"/>
                <w:noProof/>
              </w:rPr>
              <w:t>NAAQS Analysis</w:t>
            </w:r>
            <w:r w:rsidR="00BA510F">
              <w:rPr>
                <w:noProof/>
                <w:webHidden/>
              </w:rPr>
              <w:tab/>
            </w:r>
            <w:r w:rsidR="00BA510F">
              <w:rPr>
                <w:noProof/>
                <w:webHidden/>
              </w:rPr>
              <w:fldChar w:fldCharType="begin"/>
            </w:r>
            <w:r w:rsidR="00BA510F">
              <w:rPr>
                <w:noProof/>
                <w:webHidden/>
              </w:rPr>
              <w:instrText xml:space="preserve"> PAGEREF _Toc489256242 \h </w:instrText>
            </w:r>
            <w:r w:rsidR="00BA510F">
              <w:rPr>
                <w:noProof/>
                <w:webHidden/>
              </w:rPr>
            </w:r>
            <w:r w:rsidR="00BA510F">
              <w:rPr>
                <w:noProof/>
                <w:webHidden/>
              </w:rPr>
              <w:fldChar w:fldCharType="separate"/>
            </w:r>
            <w:r w:rsidR="00BA510F">
              <w:rPr>
                <w:noProof/>
                <w:webHidden/>
              </w:rPr>
              <w:t>8</w:t>
            </w:r>
            <w:r w:rsidR="00BA510F">
              <w:rPr>
                <w:noProof/>
                <w:webHidden/>
              </w:rPr>
              <w:fldChar w:fldCharType="end"/>
            </w:r>
          </w:hyperlink>
        </w:p>
        <w:p w14:paraId="336194CB" w14:textId="77777777" w:rsidR="00BA510F" w:rsidRDefault="00000000">
          <w:pPr>
            <w:pStyle w:val="TOC1"/>
            <w:tabs>
              <w:tab w:val="right" w:leader="dot" w:pos="9350"/>
            </w:tabs>
            <w:rPr>
              <w:rFonts w:asciiTheme="minorHAnsi" w:eastAsiaTheme="minorEastAsia" w:hAnsiTheme="minorHAnsi" w:cstheme="minorBidi"/>
              <w:noProof/>
            </w:rPr>
          </w:pPr>
          <w:hyperlink w:anchor="_Toc489256243" w:history="1">
            <w:r w:rsidR="00BA510F" w:rsidRPr="00C37525">
              <w:rPr>
                <w:rStyle w:val="Hyperlink"/>
                <w:noProof/>
              </w:rPr>
              <w:t>Increment Analysis</w:t>
            </w:r>
            <w:r w:rsidR="00BA510F">
              <w:rPr>
                <w:noProof/>
                <w:webHidden/>
              </w:rPr>
              <w:tab/>
            </w:r>
            <w:r w:rsidR="00BA510F">
              <w:rPr>
                <w:noProof/>
                <w:webHidden/>
              </w:rPr>
              <w:fldChar w:fldCharType="begin"/>
            </w:r>
            <w:r w:rsidR="00BA510F">
              <w:rPr>
                <w:noProof/>
                <w:webHidden/>
              </w:rPr>
              <w:instrText xml:space="preserve"> PAGEREF _Toc489256243 \h </w:instrText>
            </w:r>
            <w:r w:rsidR="00BA510F">
              <w:rPr>
                <w:noProof/>
                <w:webHidden/>
              </w:rPr>
            </w:r>
            <w:r w:rsidR="00BA510F">
              <w:rPr>
                <w:noProof/>
                <w:webHidden/>
              </w:rPr>
              <w:fldChar w:fldCharType="separate"/>
            </w:r>
            <w:r w:rsidR="00BA510F">
              <w:rPr>
                <w:noProof/>
                <w:webHidden/>
              </w:rPr>
              <w:t>10</w:t>
            </w:r>
            <w:r w:rsidR="00BA510F">
              <w:rPr>
                <w:noProof/>
                <w:webHidden/>
              </w:rPr>
              <w:fldChar w:fldCharType="end"/>
            </w:r>
          </w:hyperlink>
        </w:p>
        <w:p w14:paraId="4195F667" w14:textId="77777777" w:rsidR="00BA510F" w:rsidRDefault="00000000">
          <w:pPr>
            <w:pStyle w:val="TOC1"/>
            <w:tabs>
              <w:tab w:val="right" w:leader="dot" w:pos="9350"/>
            </w:tabs>
            <w:rPr>
              <w:rFonts w:asciiTheme="minorHAnsi" w:eastAsiaTheme="minorEastAsia" w:hAnsiTheme="minorHAnsi" w:cstheme="minorBidi"/>
              <w:noProof/>
            </w:rPr>
          </w:pPr>
          <w:hyperlink w:anchor="_Toc489256244" w:history="1">
            <w:r w:rsidR="00BA510F" w:rsidRPr="00C37525">
              <w:rPr>
                <w:rStyle w:val="Hyperlink"/>
                <w:noProof/>
              </w:rPr>
              <w:t>NO</w:t>
            </w:r>
            <w:r w:rsidR="00BA510F" w:rsidRPr="00C37525">
              <w:rPr>
                <w:rStyle w:val="Hyperlink"/>
                <w:noProof/>
                <w:vertAlign w:val="subscript"/>
              </w:rPr>
              <w:t>2</w:t>
            </w:r>
            <w:r w:rsidR="00BA510F" w:rsidRPr="00C37525">
              <w:rPr>
                <w:rStyle w:val="Hyperlink"/>
                <w:noProof/>
              </w:rPr>
              <w:t xml:space="preserve"> Analysis</w:t>
            </w:r>
            <w:r w:rsidR="00BA510F">
              <w:rPr>
                <w:noProof/>
                <w:webHidden/>
              </w:rPr>
              <w:tab/>
            </w:r>
            <w:r w:rsidR="00BA510F">
              <w:rPr>
                <w:noProof/>
                <w:webHidden/>
              </w:rPr>
              <w:fldChar w:fldCharType="begin"/>
            </w:r>
            <w:r w:rsidR="00BA510F">
              <w:rPr>
                <w:noProof/>
                <w:webHidden/>
              </w:rPr>
              <w:instrText xml:space="preserve"> PAGEREF _Toc489256244 \h </w:instrText>
            </w:r>
            <w:r w:rsidR="00BA510F">
              <w:rPr>
                <w:noProof/>
                <w:webHidden/>
              </w:rPr>
            </w:r>
            <w:r w:rsidR="00BA510F">
              <w:rPr>
                <w:noProof/>
                <w:webHidden/>
              </w:rPr>
              <w:fldChar w:fldCharType="separate"/>
            </w:r>
            <w:r w:rsidR="00BA510F">
              <w:rPr>
                <w:noProof/>
                <w:webHidden/>
              </w:rPr>
              <w:t>11</w:t>
            </w:r>
            <w:r w:rsidR="00BA510F">
              <w:rPr>
                <w:noProof/>
                <w:webHidden/>
              </w:rPr>
              <w:fldChar w:fldCharType="end"/>
            </w:r>
          </w:hyperlink>
        </w:p>
        <w:p w14:paraId="311AB246" w14:textId="77777777" w:rsidR="00BA510F" w:rsidRDefault="00000000">
          <w:pPr>
            <w:pStyle w:val="TOC1"/>
            <w:tabs>
              <w:tab w:val="right" w:leader="dot" w:pos="9350"/>
            </w:tabs>
            <w:rPr>
              <w:rFonts w:asciiTheme="minorHAnsi" w:eastAsiaTheme="minorEastAsia" w:hAnsiTheme="minorHAnsi" w:cstheme="minorBidi"/>
              <w:noProof/>
            </w:rPr>
          </w:pPr>
          <w:hyperlink w:anchor="_Toc489256245" w:history="1">
            <w:r w:rsidR="00BA510F" w:rsidRPr="00C37525">
              <w:rPr>
                <w:rStyle w:val="Hyperlink"/>
                <w:noProof/>
              </w:rPr>
              <w:t>Ozone and Secondary PM</w:t>
            </w:r>
            <w:r w:rsidR="00BA510F" w:rsidRPr="00C37525">
              <w:rPr>
                <w:rStyle w:val="Hyperlink"/>
                <w:noProof/>
                <w:vertAlign w:val="subscript"/>
              </w:rPr>
              <w:t>2.5</w:t>
            </w:r>
            <w:r w:rsidR="00BA510F">
              <w:rPr>
                <w:noProof/>
                <w:webHidden/>
              </w:rPr>
              <w:tab/>
            </w:r>
            <w:r w:rsidR="00BA510F">
              <w:rPr>
                <w:noProof/>
                <w:webHidden/>
              </w:rPr>
              <w:fldChar w:fldCharType="begin"/>
            </w:r>
            <w:r w:rsidR="00BA510F">
              <w:rPr>
                <w:noProof/>
                <w:webHidden/>
              </w:rPr>
              <w:instrText xml:space="preserve"> PAGEREF _Toc489256245 \h </w:instrText>
            </w:r>
            <w:r w:rsidR="00BA510F">
              <w:rPr>
                <w:noProof/>
                <w:webHidden/>
              </w:rPr>
            </w:r>
            <w:r w:rsidR="00BA510F">
              <w:rPr>
                <w:noProof/>
                <w:webHidden/>
              </w:rPr>
              <w:fldChar w:fldCharType="separate"/>
            </w:r>
            <w:r w:rsidR="00BA510F">
              <w:rPr>
                <w:noProof/>
                <w:webHidden/>
              </w:rPr>
              <w:t>11</w:t>
            </w:r>
            <w:r w:rsidR="00BA510F">
              <w:rPr>
                <w:noProof/>
                <w:webHidden/>
              </w:rPr>
              <w:fldChar w:fldCharType="end"/>
            </w:r>
          </w:hyperlink>
        </w:p>
        <w:p w14:paraId="6835EDA3" w14:textId="77777777" w:rsidR="00BA510F" w:rsidRDefault="00000000">
          <w:pPr>
            <w:pStyle w:val="TOC1"/>
            <w:tabs>
              <w:tab w:val="right" w:leader="dot" w:pos="9350"/>
            </w:tabs>
            <w:rPr>
              <w:rFonts w:asciiTheme="minorHAnsi" w:eastAsiaTheme="minorEastAsia" w:hAnsiTheme="minorHAnsi" w:cstheme="minorBidi"/>
              <w:noProof/>
            </w:rPr>
          </w:pPr>
          <w:hyperlink w:anchor="_Toc489256246" w:history="1">
            <w:r w:rsidR="00BA510F" w:rsidRPr="00C37525">
              <w:rPr>
                <w:rStyle w:val="Hyperlink"/>
                <w:noProof/>
              </w:rPr>
              <w:t>Fugitive emissions: Lead (Pb), PM</w:t>
            </w:r>
            <w:r w:rsidR="00BA510F" w:rsidRPr="00C37525">
              <w:rPr>
                <w:rStyle w:val="Hyperlink"/>
                <w:noProof/>
                <w:vertAlign w:val="subscript"/>
              </w:rPr>
              <w:t>10</w:t>
            </w:r>
            <w:r w:rsidR="00BA510F" w:rsidRPr="00C37525">
              <w:rPr>
                <w:rStyle w:val="Hyperlink"/>
                <w:noProof/>
              </w:rPr>
              <w:t>, PM</w:t>
            </w:r>
            <w:r w:rsidR="00BA510F" w:rsidRPr="00C37525">
              <w:rPr>
                <w:rStyle w:val="Hyperlink"/>
                <w:noProof/>
                <w:vertAlign w:val="subscript"/>
              </w:rPr>
              <w:t>2.5</w:t>
            </w:r>
            <w:r w:rsidR="00BA510F">
              <w:rPr>
                <w:noProof/>
                <w:webHidden/>
              </w:rPr>
              <w:tab/>
            </w:r>
            <w:r w:rsidR="00BA510F">
              <w:rPr>
                <w:noProof/>
                <w:webHidden/>
              </w:rPr>
              <w:fldChar w:fldCharType="begin"/>
            </w:r>
            <w:r w:rsidR="00BA510F">
              <w:rPr>
                <w:noProof/>
                <w:webHidden/>
              </w:rPr>
              <w:instrText xml:space="preserve"> PAGEREF _Toc489256246 \h </w:instrText>
            </w:r>
            <w:r w:rsidR="00BA510F">
              <w:rPr>
                <w:noProof/>
                <w:webHidden/>
              </w:rPr>
            </w:r>
            <w:r w:rsidR="00BA510F">
              <w:rPr>
                <w:noProof/>
                <w:webHidden/>
              </w:rPr>
              <w:fldChar w:fldCharType="separate"/>
            </w:r>
            <w:r w:rsidR="00BA510F">
              <w:rPr>
                <w:noProof/>
                <w:webHidden/>
              </w:rPr>
              <w:t>12</w:t>
            </w:r>
            <w:r w:rsidR="00BA510F">
              <w:rPr>
                <w:noProof/>
                <w:webHidden/>
              </w:rPr>
              <w:fldChar w:fldCharType="end"/>
            </w:r>
          </w:hyperlink>
        </w:p>
        <w:p w14:paraId="77EA679E" w14:textId="77777777" w:rsidR="00BA510F" w:rsidRDefault="00000000">
          <w:pPr>
            <w:pStyle w:val="TOC1"/>
            <w:tabs>
              <w:tab w:val="right" w:leader="dot" w:pos="9350"/>
            </w:tabs>
            <w:rPr>
              <w:rFonts w:asciiTheme="minorHAnsi" w:eastAsiaTheme="minorEastAsia" w:hAnsiTheme="minorHAnsi" w:cstheme="minorBidi"/>
              <w:noProof/>
            </w:rPr>
          </w:pPr>
          <w:hyperlink w:anchor="_Toc489256247" w:history="1">
            <w:r w:rsidR="00BA510F" w:rsidRPr="00C37525">
              <w:rPr>
                <w:rStyle w:val="Hyperlink"/>
                <w:noProof/>
              </w:rPr>
              <w:t>Intermittent Emissions: Emergency Engines and 1-Hour NO2</w:t>
            </w:r>
            <w:r w:rsidR="00BA510F">
              <w:rPr>
                <w:noProof/>
                <w:webHidden/>
              </w:rPr>
              <w:tab/>
            </w:r>
            <w:r w:rsidR="00BA510F">
              <w:rPr>
                <w:noProof/>
                <w:webHidden/>
              </w:rPr>
              <w:fldChar w:fldCharType="begin"/>
            </w:r>
            <w:r w:rsidR="00BA510F">
              <w:rPr>
                <w:noProof/>
                <w:webHidden/>
              </w:rPr>
              <w:instrText xml:space="preserve"> PAGEREF _Toc489256247 \h </w:instrText>
            </w:r>
            <w:r w:rsidR="00BA510F">
              <w:rPr>
                <w:noProof/>
                <w:webHidden/>
              </w:rPr>
            </w:r>
            <w:r w:rsidR="00BA510F">
              <w:rPr>
                <w:noProof/>
                <w:webHidden/>
              </w:rPr>
              <w:fldChar w:fldCharType="separate"/>
            </w:r>
            <w:r w:rsidR="00BA510F">
              <w:rPr>
                <w:noProof/>
                <w:webHidden/>
              </w:rPr>
              <w:t>12</w:t>
            </w:r>
            <w:r w:rsidR="00BA510F">
              <w:rPr>
                <w:noProof/>
                <w:webHidden/>
              </w:rPr>
              <w:fldChar w:fldCharType="end"/>
            </w:r>
          </w:hyperlink>
        </w:p>
        <w:p w14:paraId="76961DB1" w14:textId="77777777" w:rsidR="00BA510F" w:rsidRDefault="00000000">
          <w:pPr>
            <w:pStyle w:val="TOC1"/>
            <w:tabs>
              <w:tab w:val="right" w:leader="dot" w:pos="9350"/>
            </w:tabs>
            <w:rPr>
              <w:rFonts w:asciiTheme="minorHAnsi" w:eastAsiaTheme="minorEastAsia" w:hAnsiTheme="minorHAnsi" w:cstheme="minorBidi"/>
              <w:noProof/>
            </w:rPr>
          </w:pPr>
          <w:hyperlink w:anchor="_Toc489256248" w:history="1">
            <w:r w:rsidR="00BA510F" w:rsidRPr="00C37525">
              <w:rPr>
                <w:rStyle w:val="Hyperlink"/>
                <w:noProof/>
              </w:rPr>
              <w:t>Additional Impact Analyses for Major Source PSD</w:t>
            </w:r>
            <w:r w:rsidR="00BA510F">
              <w:rPr>
                <w:noProof/>
                <w:webHidden/>
              </w:rPr>
              <w:tab/>
            </w:r>
            <w:r w:rsidR="00BA510F">
              <w:rPr>
                <w:noProof/>
                <w:webHidden/>
              </w:rPr>
              <w:fldChar w:fldCharType="begin"/>
            </w:r>
            <w:r w:rsidR="00BA510F">
              <w:rPr>
                <w:noProof/>
                <w:webHidden/>
              </w:rPr>
              <w:instrText xml:space="preserve"> PAGEREF _Toc489256248 \h </w:instrText>
            </w:r>
            <w:r w:rsidR="00BA510F">
              <w:rPr>
                <w:noProof/>
                <w:webHidden/>
              </w:rPr>
            </w:r>
            <w:r w:rsidR="00BA510F">
              <w:rPr>
                <w:noProof/>
                <w:webHidden/>
              </w:rPr>
              <w:fldChar w:fldCharType="separate"/>
            </w:r>
            <w:r w:rsidR="00BA510F">
              <w:rPr>
                <w:noProof/>
                <w:webHidden/>
              </w:rPr>
              <w:t>12</w:t>
            </w:r>
            <w:r w:rsidR="00BA510F">
              <w:rPr>
                <w:noProof/>
                <w:webHidden/>
              </w:rPr>
              <w:fldChar w:fldCharType="end"/>
            </w:r>
          </w:hyperlink>
        </w:p>
        <w:p w14:paraId="77FE14E5" w14:textId="77777777" w:rsidR="00BA510F" w:rsidRDefault="00000000">
          <w:pPr>
            <w:pStyle w:val="TOC1"/>
            <w:tabs>
              <w:tab w:val="right" w:leader="dot" w:pos="9350"/>
            </w:tabs>
            <w:rPr>
              <w:rFonts w:asciiTheme="minorHAnsi" w:eastAsiaTheme="minorEastAsia" w:hAnsiTheme="minorHAnsi" w:cstheme="minorBidi"/>
              <w:noProof/>
            </w:rPr>
          </w:pPr>
          <w:hyperlink w:anchor="_Toc489256249" w:history="1">
            <w:r w:rsidR="00BA510F" w:rsidRPr="00C37525">
              <w:rPr>
                <w:rStyle w:val="Hyperlink"/>
                <w:noProof/>
              </w:rPr>
              <w:t>Regional Haze Screening of Class I Areas:  Guidance from Federal Land Managers</w:t>
            </w:r>
            <w:r w:rsidR="00BA510F">
              <w:rPr>
                <w:noProof/>
                <w:webHidden/>
              </w:rPr>
              <w:tab/>
            </w:r>
            <w:r w:rsidR="00BA510F">
              <w:rPr>
                <w:noProof/>
                <w:webHidden/>
              </w:rPr>
              <w:fldChar w:fldCharType="begin"/>
            </w:r>
            <w:r w:rsidR="00BA510F">
              <w:rPr>
                <w:noProof/>
                <w:webHidden/>
              </w:rPr>
              <w:instrText xml:space="preserve"> PAGEREF _Toc489256249 \h </w:instrText>
            </w:r>
            <w:r w:rsidR="00BA510F">
              <w:rPr>
                <w:noProof/>
                <w:webHidden/>
              </w:rPr>
            </w:r>
            <w:r w:rsidR="00BA510F">
              <w:rPr>
                <w:noProof/>
                <w:webHidden/>
              </w:rPr>
              <w:fldChar w:fldCharType="separate"/>
            </w:r>
            <w:r w:rsidR="00BA510F">
              <w:rPr>
                <w:noProof/>
                <w:webHidden/>
              </w:rPr>
              <w:t>13</w:t>
            </w:r>
            <w:r w:rsidR="00BA510F">
              <w:rPr>
                <w:noProof/>
                <w:webHidden/>
              </w:rPr>
              <w:fldChar w:fldCharType="end"/>
            </w:r>
          </w:hyperlink>
        </w:p>
        <w:p w14:paraId="6974904C" w14:textId="77777777" w:rsidR="00BA510F" w:rsidRDefault="00000000">
          <w:pPr>
            <w:pStyle w:val="TOC1"/>
            <w:tabs>
              <w:tab w:val="right" w:leader="dot" w:pos="9350"/>
            </w:tabs>
            <w:rPr>
              <w:rFonts w:asciiTheme="minorHAnsi" w:eastAsiaTheme="minorEastAsia" w:hAnsiTheme="minorHAnsi" w:cstheme="minorBidi"/>
              <w:noProof/>
            </w:rPr>
          </w:pPr>
          <w:hyperlink w:anchor="_Toc489256250" w:history="1">
            <w:r w:rsidR="00BA510F" w:rsidRPr="00C37525">
              <w:rPr>
                <w:rStyle w:val="Hyperlink"/>
                <w:noProof/>
              </w:rPr>
              <w:t>Good Engineering Practice (GEP) Stack Height and Building Downwash</w:t>
            </w:r>
            <w:r w:rsidR="00BA510F">
              <w:rPr>
                <w:noProof/>
                <w:webHidden/>
              </w:rPr>
              <w:tab/>
            </w:r>
            <w:r w:rsidR="00BA510F">
              <w:rPr>
                <w:noProof/>
                <w:webHidden/>
              </w:rPr>
              <w:fldChar w:fldCharType="begin"/>
            </w:r>
            <w:r w:rsidR="00BA510F">
              <w:rPr>
                <w:noProof/>
                <w:webHidden/>
              </w:rPr>
              <w:instrText xml:space="preserve"> PAGEREF _Toc489256250 \h </w:instrText>
            </w:r>
            <w:r w:rsidR="00BA510F">
              <w:rPr>
                <w:noProof/>
                <w:webHidden/>
              </w:rPr>
            </w:r>
            <w:r w:rsidR="00BA510F">
              <w:rPr>
                <w:noProof/>
                <w:webHidden/>
              </w:rPr>
              <w:fldChar w:fldCharType="separate"/>
            </w:r>
            <w:r w:rsidR="00BA510F">
              <w:rPr>
                <w:noProof/>
                <w:webHidden/>
              </w:rPr>
              <w:t>13</w:t>
            </w:r>
            <w:r w:rsidR="00BA510F">
              <w:rPr>
                <w:noProof/>
                <w:webHidden/>
              </w:rPr>
              <w:fldChar w:fldCharType="end"/>
            </w:r>
          </w:hyperlink>
        </w:p>
        <w:p w14:paraId="37D09E3C" w14:textId="77777777" w:rsidR="00BA510F" w:rsidRDefault="00000000">
          <w:pPr>
            <w:pStyle w:val="TOC1"/>
            <w:tabs>
              <w:tab w:val="right" w:leader="dot" w:pos="9350"/>
            </w:tabs>
            <w:rPr>
              <w:rFonts w:asciiTheme="minorHAnsi" w:eastAsiaTheme="minorEastAsia" w:hAnsiTheme="minorHAnsi" w:cstheme="minorBidi"/>
              <w:noProof/>
            </w:rPr>
          </w:pPr>
          <w:hyperlink w:anchor="_Toc489256251" w:history="1">
            <w:r w:rsidR="00BA510F" w:rsidRPr="00C37525">
              <w:rPr>
                <w:rStyle w:val="Hyperlink"/>
                <w:noProof/>
              </w:rPr>
              <w:t>Model Parameters</w:t>
            </w:r>
            <w:r w:rsidR="00BA510F">
              <w:rPr>
                <w:noProof/>
                <w:webHidden/>
              </w:rPr>
              <w:tab/>
            </w:r>
            <w:r w:rsidR="00BA510F">
              <w:rPr>
                <w:noProof/>
                <w:webHidden/>
              </w:rPr>
              <w:fldChar w:fldCharType="begin"/>
            </w:r>
            <w:r w:rsidR="00BA510F">
              <w:rPr>
                <w:noProof/>
                <w:webHidden/>
              </w:rPr>
              <w:instrText xml:space="preserve"> PAGEREF _Toc489256251 \h </w:instrText>
            </w:r>
            <w:r w:rsidR="00BA510F">
              <w:rPr>
                <w:noProof/>
                <w:webHidden/>
              </w:rPr>
            </w:r>
            <w:r w:rsidR="00BA510F">
              <w:rPr>
                <w:noProof/>
                <w:webHidden/>
              </w:rPr>
              <w:fldChar w:fldCharType="separate"/>
            </w:r>
            <w:r w:rsidR="00BA510F">
              <w:rPr>
                <w:noProof/>
                <w:webHidden/>
              </w:rPr>
              <w:t>14</w:t>
            </w:r>
            <w:r w:rsidR="00BA510F">
              <w:rPr>
                <w:noProof/>
                <w:webHidden/>
              </w:rPr>
              <w:fldChar w:fldCharType="end"/>
            </w:r>
          </w:hyperlink>
        </w:p>
        <w:p w14:paraId="5953297B" w14:textId="77777777" w:rsidR="00BA510F" w:rsidRDefault="00000000">
          <w:pPr>
            <w:pStyle w:val="TOC1"/>
            <w:tabs>
              <w:tab w:val="right" w:leader="dot" w:pos="9350"/>
            </w:tabs>
            <w:rPr>
              <w:rFonts w:asciiTheme="minorHAnsi" w:eastAsiaTheme="minorEastAsia" w:hAnsiTheme="minorHAnsi" w:cstheme="minorBidi"/>
              <w:noProof/>
            </w:rPr>
          </w:pPr>
          <w:hyperlink w:anchor="_Toc489256252" w:history="1">
            <w:r w:rsidR="00BA510F" w:rsidRPr="00C37525">
              <w:rPr>
                <w:rStyle w:val="Hyperlink"/>
                <w:noProof/>
              </w:rPr>
              <w:t>Receptors and Terrain</w:t>
            </w:r>
            <w:r w:rsidR="00BA510F">
              <w:rPr>
                <w:noProof/>
                <w:webHidden/>
              </w:rPr>
              <w:tab/>
            </w:r>
            <w:r w:rsidR="00BA510F">
              <w:rPr>
                <w:noProof/>
                <w:webHidden/>
              </w:rPr>
              <w:fldChar w:fldCharType="begin"/>
            </w:r>
            <w:r w:rsidR="00BA510F">
              <w:rPr>
                <w:noProof/>
                <w:webHidden/>
              </w:rPr>
              <w:instrText xml:space="preserve"> PAGEREF _Toc489256252 \h </w:instrText>
            </w:r>
            <w:r w:rsidR="00BA510F">
              <w:rPr>
                <w:noProof/>
                <w:webHidden/>
              </w:rPr>
            </w:r>
            <w:r w:rsidR="00BA510F">
              <w:rPr>
                <w:noProof/>
                <w:webHidden/>
              </w:rPr>
              <w:fldChar w:fldCharType="separate"/>
            </w:r>
            <w:r w:rsidR="00BA510F">
              <w:rPr>
                <w:noProof/>
                <w:webHidden/>
              </w:rPr>
              <w:t>14</w:t>
            </w:r>
            <w:r w:rsidR="00BA510F">
              <w:rPr>
                <w:noProof/>
                <w:webHidden/>
              </w:rPr>
              <w:fldChar w:fldCharType="end"/>
            </w:r>
          </w:hyperlink>
        </w:p>
        <w:p w14:paraId="666B2AAC" w14:textId="77777777" w:rsidR="00BA510F" w:rsidRDefault="00000000">
          <w:pPr>
            <w:pStyle w:val="TOC1"/>
            <w:tabs>
              <w:tab w:val="right" w:leader="dot" w:pos="9350"/>
            </w:tabs>
            <w:rPr>
              <w:rFonts w:asciiTheme="minorHAnsi" w:eastAsiaTheme="minorEastAsia" w:hAnsiTheme="minorHAnsi" w:cstheme="minorBidi"/>
              <w:noProof/>
            </w:rPr>
          </w:pPr>
          <w:hyperlink w:anchor="_Toc489256253" w:history="1">
            <w:r w:rsidR="00BA510F" w:rsidRPr="00C37525">
              <w:rPr>
                <w:rStyle w:val="Hyperlink"/>
                <w:noProof/>
              </w:rPr>
              <w:t>AERMAP</w:t>
            </w:r>
            <w:r w:rsidR="00BA510F">
              <w:rPr>
                <w:noProof/>
                <w:webHidden/>
              </w:rPr>
              <w:tab/>
            </w:r>
            <w:r w:rsidR="00BA510F">
              <w:rPr>
                <w:noProof/>
                <w:webHidden/>
              </w:rPr>
              <w:fldChar w:fldCharType="begin"/>
            </w:r>
            <w:r w:rsidR="00BA510F">
              <w:rPr>
                <w:noProof/>
                <w:webHidden/>
              </w:rPr>
              <w:instrText xml:space="preserve"> PAGEREF _Toc489256253 \h </w:instrText>
            </w:r>
            <w:r w:rsidR="00BA510F">
              <w:rPr>
                <w:noProof/>
                <w:webHidden/>
              </w:rPr>
            </w:r>
            <w:r w:rsidR="00BA510F">
              <w:rPr>
                <w:noProof/>
                <w:webHidden/>
              </w:rPr>
              <w:fldChar w:fldCharType="separate"/>
            </w:r>
            <w:r w:rsidR="00BA510F">
              <w:rPr>
                <w:noProof/>
                <w:webHidden/>
              </w:rPr>
              <w:t>15</w:t>
            </w:r>
            <w:r w:rsidR="00BA510F">
              <w:rPr>
                <w:noProof/>
                <w:webHidden/>
              </w:rPr>
              <w:fldChar w:fldCharType="end"/>
            </w:r>
          </w:hyperlink>
        </w:p>
        <w:p w14:paraId="38510444" w14:textId="77777777" w:rsidR="00BA510F" w:rsidRDefault="00000000">
          <w:pPr>
            <w:pStyle w:val="TOC1"/>
            <w:tabs>
              <w:tab w:val="right" w:leader="dot" w:pos="9350"/>
            </w:tabs>
            <w:rPr>
              <w:rFonts w:asciiTheme="minorHAnsi" w:eastAsiaTheme="minorEastAsia" w:hAnsiTheme="minorHAnsi" w:cstheme="minorBidi"/>
              <w:noProof/>
            </w:rPr>
          </w:pPr>
          <w:hyperlink w:anchor="_Toc489256254" w:history="1">
            <w:r w:rsidR="00BA510F" w:rsidRPr="00C37525">
              <w:rPr>
                <w:rStyle w:val="Hyperlink"/>
                <w:noProof/>
              </w:rPr>
              <w:t>Meteorological Data</w:t>
            </w:r>
            <w:r w:rsidR="00BA510F">
              <w:rPr>
                <w:noProof/>
                <w:webHidden/>
              </w:rPr>
              <w:tab/>
            </w:r>
            <w:r w:rsidR="00BA510F">
              <w:rPr>
                <w:noProof/>
                <w:webHidden/>
              </w:rPr>
              <w:fldChar w:fldCharType="begin"/>
            </w:r>
            <w:r w:rsidR="00BA510F">
              <w:rPr>
                <w:noProof/>
                <w:webHidden/>
              </w:rPr>
              <w:instrText xml:space="preserve"> PAGEREF _Toc489256254 \h </w:instrText>
            </w:r>
            <w:r w:rsidR="00BA510F">
              <w:rPr>
                <w:noProof/>
                <w:webHidden/>
              </w:rPr>
            </w:r>
            <w:r w:rsidR="00BA510F">
              <w:rPr>
                <w:noProof/>
                <w:webHidden/>
              </w:rPr>
              <w:fldChar w:fldCharType="separate"/>
            </w:r>
            <w:r w:rsidR="00BA510F">
              <w:rPr>
                <w:noProof/>
                <w:webHidden/>
              </w:rPr>
              <w:t>15</w:t>
            </w:r>
            <w:r w:rsidR="00BA510F">
              <w:rPr>
                <w:noProof/>
                <w:webHidden/>
              </w:rPr>
              <w:fldChar w:fldCharType="end"/>
            </w:r>
          </w:hyperlink>
        </w:p>
        <w:p w14:paraId="171D813E" w14:textId="77777777" w:rsidR="00BA510F" w:rsidRDefault="00000000">
          <w:pPr>
            <w:pStyle w:val="TOC1"/>
            <w:tabs>
              <w:tab w:val="right" w:leader="dot" w:pos="9350"/>
            </w:tabs>
            <w:rPr>
              <w:rFonts w:asciiTheme="minorHAnsi" w:eastAsiaTheme="minorEastAsia" w:hAnsiTheme="minorHAnsi" w:cstheme="minorBidi"/>
              <w:noProof/>
            </w:rPr>
          </w:pPr>
          <w:hyperlink w:anchor="_Toc489256255" w:history="1">
            <w:r w:rsidR="00BA510F" w:rsidRPr="00C37525">
              <w:rPr>
                <w:rStyle w:val="Hyperlink"/>
                <w:noProof/>
              </w:rPr>
              <w:t>Background Concentrations</w:t>
            </w:r>
            <w:r w:rsidR="00BA510F">
              <w:rPr>
                <w:noProof/>
                <w:webHidden/>
              </w:rPr>
              <w:tab/>
            </w:r>
            <w:r w:rsidR="00BA510F">
              <w:rPr>
                <w:noProof/>
                <w:webHidden/>
              </w:rPr>
              <w:fldChar w:fldCharType="begin"/>
            </w:r>
            <w:r w:rsidR="00BA510F">
              <w:rPr>
                <w:noProof/>
                <w:webHidden/>
              </w:rPr>
              <w:instrText xml:space="preserve"> PAGEREF _Toc489256255 \h </w:instrText>
            </w:r>
            <w:r w:rsidR="00BA510F">
              <w:rPr>
                <w:noProof/>
                <w:webHidden/>
              </w:rPr>
            </w:r>
            <w:r w:rsidR="00BA510F">
              <w:rPr>
                <w:noProof/>
                <w:webHidden/>
              </w:rPr>
              <w:fldChar w:fldCharType="separate"/>
            </w:r>
            <w:r w:rsidR="00BA510F">
              <w:rPr>
                <w:noProof/>
                <w:webHidden/>
              </w:rPr>
              <w:t>15</w:t>
            </w:r>
            <w:r w:rsidR="00BA510F">
              <w:rPr>
                <w:noProof/>
                <w:webHidden/>
              </w:rPr>
              <w:fldChar w:fldCharType="end"/>
            </w:r>
          </w:hyperlink>
        </w:p>
        <w:p w14:paraId="61F3E783" w14:textId="77777777" w:rsidR="00BA510F" w:rsidRDefault="00000000">
          <w:pPr>
            <w:pStyle w:val="TOC1"/>
            <w:tabs>
              <w:tab w:val="right" w:leader="dot" w:pos="9350"/>
            </w:tabs>
            <w:rPr>
              <w:rFonts w:asciiTheme="minorHAnsi" w:eastAsiaTheme="minorEastAsia" w:hAnsiTheme="minorHAnsi" w:cstheme="minorBidi"/>
              <w:noProof/>
            </w:rPr>
          </w:pPr>
          <w:hyperlink w:anchor="_Toc489256256" w:history="1">
            <w:r w:rsidR="00BA510F" w:rsidRPr="00C37525">
              <w:rPr>
                <w:rStyle w:val="Hyperlink"/>
                <w:noProof/>
              </w:rPr>
              <w:t>Modeled Exceedances</w:t>
            </w:r>
            <w:r w:rsidR="00BA510F">
              <w:rPr>
                <w:noProof/>
                <w:webHidden/>
              </w:rPr>
              <w:tab/>
            </w:r>
            <w:r w:rsidR="00BA510F">
              <w:rPr>
                <w:noProof/>
                <w:webHidden/>
              </w:rPr>
              <w:fldChar w:fldCharType="begin"/>
            </w:r>
            <w:r w:rsidR="00BA510F">
              <w:rPr>
                <w:noProof/>
                <w:webHidden/>
              </w:rPr>
              <w:instrText xml:space="preserve"> PAGEREF _Toc489256256 \h </w:instrText>
            </w:r>
            <w:r w:rsidR="00BA510F">
              <w:rPr>
                <w:noProof/>
                <w:webHidden/>
              </w:rPr>
            </w:r>
            <w:r w:rsidR="00BA510F">
              <w:rPr>
                <w:noProof/>
                <w:webHidden/>
              </w:rPr>
              <w:fldChar w:fldCharType="separate"/>
            </w:r>
            <w:r w:rsidR="00BA510F">
              <w:rPr>
                <w:noProof/>
                <w:webHidden/>
              </w:rPr>
              <w:t>15</w:t>
            </w:r>
            <w:r w:rsidR="00BA510F">
              <w:rPr>
                <w:noProof/>
                <w:webHidden/>
              </w:rPr>
              <w:fldChar w:fldCharType="end"/>
            </w:r>
          </w:hyperlink>
        </w:p>
        <w:p w14:paraId="65056B13" w14:textId="77777777" w:rsidR="00BA510F" w:rsidRDefault="00000000">
          <w:pPr>
            <w:pStyle w:val="TOC1"/>
            <w:tabs>
              <w:tab w:val="right" w:leader="dot" w:pos="9350"/>
            </w:tabs>
            <w:rPr>
              <w:rFonts w:asciiTheme="minorHAnsi" w:eastAsiaTheme="minorEastAsia" w:hAnsiTheme="minorHAnsi" w:cstheme="minorBidi"/>
              <w:noProof/>
            </w:rPr>
          </w:pPr>
          <w:hyperlink w:anchor="_Toc489256257" w:history="1">
            <w:r w:rsidR="00BA510F" w:rsidRPr="00C37525">
              <w:rPr>
                <w:rStyle w:val="Hyperlink"/>
                <w:noProof/>
              </w:rPr>
              <w:t>Modeling Data Submittal</w:t>
            </w:r>
            <w:r w:rsidR="00BA510F">
              <w:rPr>
                <w:noProof/>
                <w:webHidden/>
              </w:rPr>
              <w:tab/>
            </w:r>
            <w:r w:rsidR="00BA510F">
              <w:rPr>
                <w:noProof/>
                <w:webHidden/>
              </w:rPr>
              <w:fldChar w:fldCharType="begin"/>
            </w:r>
            <w:r w:rsidR="00BA510F">
              <w:rPr>
                <w:noProof/>
                <w:webHidden/>
              </w:rPr>
              <w:instrText xml:space="preserve"> PAGEREF _Toc489256257 \h </w:instrText>
            </w:r>
            <w:r w:rsidR="00BA510F">
              <w:rPr>
                <w:noProof/>
                <w:webHidden/>
              </w:rPr>
            </w:r>
            <w:r w:rsidR="00BA510F">
              <w:rPr>
                <w:noProof/>
                <w:webHidden/>
              </w:rPr>
              <w:fldChar w:fldCharType="separate"/>
            </w:r>
            <w:r w:rsidR="00BA510F">
              <w:rPr>
                <w:noProof/>
                <w:webHidden/>
              </w:rPr>
              <w:t>16</w:t>
            </w:r>
            <w:r w:rsidR="00BA510F">
              <w:rPr>
                <w:noProof/>
                <w:webHidden/>
              </w:rPr>
              <w:fldChar w:fldCharType="end"/>
            </w:r>
          </w:hyperlink>
        </w:p>
        <w:p w14:paraId="1BE9939E" w14:textId="77777777" w:rsidR="00BA510F" w:rsidRDefault="00000000">
          <w:pPr>
            <w:pStyle w:val="TOC1"/>
            <w:tabs>
              <w:tab w:val="right" w:leader="dot" w:pos="9350"/>
            </w:tabs>
            <w:rPr>
              <w:rFonts w:asciiTheme="minorHAnsi" w:eastAsiaTheme="minorEastAsia" w:hAnsiTheme="minorHAnsi" w:cstheme="minorBidi"/>
              <w:noProof/>
            </w:rPr>
          </w:pPr>
          <w:hyperlink w:anchor="_Toc489256258" w:history="1">
            <w:r w:rsidR="00BA510F" w:rsidRPr="00C37525">
              <w:rPr>
                <w:rStyle w:val="Hyperlink"/>
                <w:noProof/>
              </w:rPr>
              <w:t>Appendix A - Definitions</w:t>
            </w:r>
            <w:r w:rsidR="00BA510F">
              <w:rPr>
                <w:noProof/>
                <w:webHidden/>
              </w:rPr>
              <w:tab/>
            </w:r>
            <w:r w:rsidR="00BA510F">
              <w:rPr>
                <w:noProof/>
                <w:webHidden/>
              </w:rPr>
              <w:fldChar w:fldCharType="begin"/>
            </w:r>
            <w:r w:rsidR="00BA510F">
              <w:rPr>
                <w:noProof/>
                <w:webHidden/>
              </w:rPr>
              <w:instrText xml:space="preserve"> PAGEREF _Toc489256258 \h </w:instrText>
            </w:r>
            <w:r w:rsidR="00BA510F">
              <w:rPr>
                <w:noProof/>
                <w:webHidden/>
              </w:rPr>
            </w:r>
            <w:r w:rsidR="00BA510F">
              <w:rPr>
                <w:noProof/>
                <w:webHidden/>
              </w:rPr>
              <w:fldChar w:fldCharType="separate"/>
            </w:r>
            <w:r w:rsidR="00BA510F">
              <w:rPr>
                <w:noProof/>
                <w:webHidden/>
              </w:rPr>
              <w:t>17</w:t>
            </w:r>
            <w:r w:rsidR="00BA510F">
              <w:rPr>
                <w:noProof/>
                <w:webHidden/>
              </w:rPr>
              <w:fldChar w:fldCharType="end"/>
            </w:r>
          </w:hyperlink>
        </w:p>
        <w:p w14:paraId="68739851" w14:textId="68C469B0" w:rsidR="00BA510F" w:rsidRDefault="00000000">
          <w:pPr>
            <w:pStyle w:val="TOC1"/>
            <w:tabs>
              <w:tab w:val="right" w:leader="dot" w:pos="9350"/>
            </w:tabs>
            <w:rPr>
              <w:rFonts w:asciiTheme="minorHAnsi" w:eastAsiaTheme="minorEastAsia" w:hAnsiTheme="minorHAnsi" w:cstheme="minorBidi"/>
              <w:noProof/>
            </w:rPr>
          </w:pPr>
          <w:hyperlink w:anchor="_Toc489256260" w:history="1">
            <w:r w:rsidR="00BA510F" w:rsidRPr="00C37525">
              <w:rPr>
                <w:rStyle w:val="Hyperlink"/>
                <w:noProof/>
              </w:rPr>
              <w:t>Appendix C - Modeling Haul Roads</w:t>
            </w:r>
            <w:r w:rsidR="00BA510F">
              <w:rPr>
                <w:noProof/>
                <w:webHidden/>
              </w:rPr>
              <w:tab/>
            </w:r>
            <w:r w:rsidR="007D4D4C">
              <w:rPr>
                <w:noProof/>
                <w:webHidden/>
              </w:rPr>
              <w:t>20</w:t>
            </w:r>
          </w:hyperlink>
        </w:p>
        <w:p w14:paraId="35A75988" w14:textId="6AE5AD0D" w:rsidR="00BA510F" w:rsidRDefault="00000000">
          <w:pPr>
            <w:pStyle w:val="TOC1"/>
            <w:tabs>
              <w:tab w:val="right" w:leader="dot" w:pos="9350"/>
            </w:tabs>
            <w:rPr>
              <w:rFonts w:asciiTheme="minorHAnsi" w:eastAsiaTheme="minorEastAsia" w:hAnsiTheme="minorHAnsi" w:cstheme="minorBidi"/>
              <w:noProof/>
            </w:rPr>
          </w:pPr>
          <w:hyperlink w:anchor="_Toc489256261" w:history="1">
            <w:r w:rsidR="00BA510F" w:rsidRPr="00C37525">
              <w:rPr>
                <w:rStyle w:val="Hyperlink"/>
                <w:noProof/>
              </w:rPr>
              <w:t>Appendix D - Calculation of 30-Minute Rolling Average Total Reduced Sulfur (TRS)</w:t>
            </w:r>
            <w:r w:rsidR="00BA510F">
              <w:rPr>
                <w:noProof/>
                <w:webHidden/>
              </w:rPr>
              <w:tab/>
            </w:r>
            <w:r w:rsidR="00BA510F">
              <w:rPr>
                <w:noProof/>
                <w:webHidden/>
              </w:rPr>
              <w:fldChar w:fldCharType="begin"/>
            </w:r>
            <w:r w:rsidR="00BA510F">
              <w:rPr>
                <w:noProof/>
                <w:webHidden/>
              </w:rPr>
              <w:instrText xml:space="preserve"> PAGEREF _Toc489256261 \h </w:instrText>
            </w:r>
            <w:r w:rsidR="00BA510F">
              <w:rPr>
                <w:noProof/>
                <w:webHidden/>
              </w:rPr>
            </w:r>
            <w:r w:rsidR="00BA510F">
              <w:rPr>
                <w:noProof/>
                <w:webHidden/>
              </w:rPr>
              <w:fldChar w:fldCharType="separate"/>
            </w:r>
            <w:r w:rsidR="00BA510F">
              <w:rPr>
                <w:noProof/>
                <w:webHidden/>
              </w:rPr>
              <w:t>2</w:t>
            </w:r>
            <w:r w:rsidR="007D4D4C">
              <w:rPr>
                <w:noProof/>
                <w:webHidden/>
              </w:rPr>
              <w:t>1</w:t>
            </w:r>
            <w:r w:rsidR="00BA510F">
              <w:rPr>
                <w:noProof/>
                <w:webHidden/>
              </w:rPr>
              <w:fldChar w:fldCharType="end"/>
            </w:r>
          </w:hyperlink>
        </w:p>
        <w:p w14:paraId="702284C7" w14:textId="361A1CFE" w:rsidR="00BA510F" w:rsidRDefault="00000000">
          <w:pPr>
            <w:pStyle w:val="TOC1"/>
            <w:tabs>
              <w:tab w:val="right" w:leader="dot" w:pos="9350"/>
            </w:tabs>
            <w:rPr>
              <w:rFonts w:asciiTheme="minorHAnsi" w:eastAsiaTheme="minorEastAsia" w:hAnsiTheme="minorHAnsi" w:cstheme="minorBidi"/>
              <w:noProof/>
            </w:rPr>
          </w:pPr>
          <w:hyperlink w:anchor="_Toc489256262" w:history="1">
            <w:r w:rsidR="00BA510F" w:rsidRPr="00C37525">
              <w:rPr>
                <w:rStyle w:val="Hyperlink"/>
                <w:noProof/>
              </w:rPr>
              <w:t>Appendix E - Rounding Modeled Design Values</w:t>
            </w:r>
            <w:r w:rsidR="00BA510F">
              <w:rPr>
                <w:noProof/>
                <w:webHidden/>
              </w:rPr>
              <w:tab/>
            </w:r>
            <w:r w:rsidR="00BA510F">
              <w:rPr>
                <w:noProof/>
                <w:webHidden/>
              </w:rPr>
              <w:fldChar w:fldCharType="begin"/>
            </w:r>
            <w:r w:rsidR="00BA510F">
              <w:rPr>
                <w:noProof/>
                <w:webHidden/>
              </w:rPr>
              <w:instrText xml:space="preserve"> PAGEREF _Toc489256262 \h </w:instrText>
            </w:r>
            <w:r w:rsidR="00BA510F">
              <w:rPr>
                <w:noProof/>
                <w:webHidden/>
              </w:rPr>
            </w:r>
            <w:r w:rsidR="00BA510F">
              <w:rPr>
                <w:noProof/>
                <w:webHidden/>
              </w:rPr>
              <w:fldChar w:fldCharType="separate"/>
            </w:r>
            <w:r w:rsidR="00BA510F">
              <w:rPr>
                <w:noProof/>
                <w:webHidden/>
              </w:rPr>
              <w:t>2</w:t>
            </w:r>
            <w:r w:rsidR="007D4D4C">
              <w:rPr>
                <w:noProof/>
                <w:webHidden/>
              </w:rPr>
              <w:t>2</w:t>
            </w:r>
            <w:r w:rsidR="00BA510F">
              <w:rPr>
                <w:noProof/>
                <w:webHidden/>
              </w:rPr>
              <w:fldChar w:fldCharType="end"/>
            </w:r>
          </w:hyperlink>
        </w:p>
        <w:p w14:paraId="774CC658" w14:textId="2CFFF02C" w:rsidR="00BA510F" w:rsidRDefault="00000000">
          <w:pPr>
            <w:pStyle w:val="TOC1"/>
            <w:tabs>
              <w:tab w:val="right" w:leader="dot" w:pos="9350"/>
            </w:tabs>
            <w:rPr>
              <w:rFonts w:asciiTheme="minorHAnsi" w:eastAsiaTheme="minorEastAsia" w:hAnsiTheme="minorHAnsi" w:cstheme="minorBidi"/>
              <w:noProof/>
            </w:rPr>
          </w:pPr>
          <w:hyperlink w:anchor="_Toc489256263" w:history="1">
            <w:r w:rsidR="00BA510F" w:rsidRPr="00C37525">
              <w:rPr>
                <w:rStyle w:val="Hyperlink"/>
                <w:noProof/>
              </w:rPr>
              <w:t>Appendix F - Culpability Analysis</w:t>
            </w:r>
            <w:r w:rsidR="00BA510F">
              <w:rPr>
                <w:noProof/>
                <w:webHidden/>
              </w:rPr>
              <w:tab/>
            </w:r>
            <w:r w:rsidR="00BA510F">
              <w:rPr>
                <w:noProof/>
                <w:webHidden/>
              </w:rPr>
              <w:fldChar w:fldCharType="begin"/>
            </w:r>
            <w:r w:rsidR="00BA510F">
              <w:rPr>
                <w:noProof/>
                <w:webHidden/>
              </w:rPr>
              <w:instrText xml:space="preserve"> PAGEREF _Toc489256263 \h </w:instrText>
            </w:r>
            <w:r w:rsidR="00BA510F">
              <w:rPr>
                <w:noProof/>
                <w:webHidden/>
              </w:rPr>
            </w:r>
            <w:r w:rsidR="00BA510F">
              <w:rPr>
                <w:noProof/>
                <w:webHidden/>
              </w:rPr>
              <w:fldChar w:fldCharType="separate"/>
            </w:r>
            <w:r w:rsidR="00BA510F">
              <w:rPr>
                <w:noProof/>
                <w:webHidden/>
              </w:rPr>
              <w:t>2</w:t>
            </w:r>
            <w:r w:rsidR="007D4D4C">
              <w:rPr>
                <w:noProof/>
                <w:webHidden/>
              </w:rPr>
              <w:t>3</w:t>
            </w:r>
            <w:r w:rsidR="00BA510F">
              <w:rPr>
                <w:noProof/>
                <w:webHidden/>
              </w:rPr>
              <w:fldChar w:fldCharType="end"/>
            </w:r>
          </w:hyperlink>
        </w:p>
        <w:p w14:paraId="57620824" w14:textId="28718383" w:rsidR="00BA510F" w:rsidRDefault="00000000">
          <w:pPr>
            <w:pStyle w:val="TOC1"/>
            <w:tabs>
              <w:tab w:val="right" w:leader="dot" w:pos="9350"/>
            </w:tabs>
            <w:rPr>
              <w:rFonts w:asciiTheme="minorHAnsi" w:eastAsiaTheme="minorEastAsia" w:hAnsiTheme="minorHAnsi" w:cstheme="minorBidi"/>
              <w:noProof/>
            </w:rPr>
          </w:pPr>
          <w:hyperlink w:anchor="_Toc489256264" w:history="1">
            <w:r w:rsidR="00BA510F" w:rsidRPr="00C37525">
              <w:rPr>
                <w:rStyle w:val="Hyperlink"/>
                <w:noProof/>
              </w:rPr>
              <w:t>Appendix G - Frequently Used Tables</w:t>
            </w:r>
            <w:r w:rsidR="00BA510F">
              <w:rPr>
                <w:noProof/>
                <w:webHidden/>
              </w:rPr>
              <w:tab/>
            </w:r>
            <w:r w:rsidR="00BA510F">
              <w:rPr>
                <w:noProof/>
                <w:webHidden/>
              </w:rPr>
              <w:fldChar w:fldCharType="begin"/>
            </w:r>
            <w:r w:rsidR="00BA510F">
              <w:rPr>
                <w:noProof/>
                <w:webHidden/>
              </w:rPr>
              <w:instrText xml:space="preserve"> PAGEREF _Toc489256264 \h </w:instrText>
            </w:r>
            <w:r w:rsidR="00BA510F">
              <w:rPr>
                <w:noProof/>
                <w:webHidden/>
              </w:rPr>
            </w:r>
            <w:r w:rsidR="00BA510F">
              <w:rPr>
                <w:noProof/>
                <w:webHidden/>
              </w:rPr>
              <w:fldChar w:fldCharType="separate"/>
            </w:r>
            <w:r w:rsidR="00BA510F">
              <w:rPr>
                <w:noProof/>
                <w:webHidden/>
              </w:rPr>
              <w:t>2</w:t>
            </w:r>
            <w:r w:rsidR="007D4D4C">
              <w:rPr>
                <w:noProof/>
                <w:webHidden/>
              </w:rPr>
              <w:t>4</w:t>
            </w:r>
            <w:r w:rsidR="00BA510F">
              <w:rPr>
                <w:noProof/>
                <w:webHidden/>
              </w:rPr>
              <w:fldChar w:fldCharType="end"/>
            </w:r>
          </w:hyperlink>
        </w:p>
        <w:p w14:paraId="66DF35C0" w14:textId="77777777" w:rsidR="00B953E3" w:rsidRDefault="00B953E3">
          <w:r>
            <w:rPr>
              <w:b/>
              <w:bCs/>
              <w:noProof/>
            </w:rPr>
            <w:fldChar w:fldCharType="end"/>
          </w:r>
        </w:p>
      </w:sdtContent>
    </w:sdt>
    <w:p w14:paraId="1C1DFD70" w14:textId="77777777" w:rsidR="000E29C9" w:rsidRPr="00CA1232" w:rsidRDefault="000E29C9" w:rsidP="00D511FD">
      <w:pPr>
        <w:pStyle w:val="Heading1"/>
      </w:pPr>
      <w:bookmarkStart w:id="0" w:name="_Toc489256233"/>
      <w:r w:rsidRPr="00CA1232">
        <w:lastRenderedPageBreak/>
        <w:t>List of Acronyms</w:t>
      </w:r>
      <w:bookmarkEnd w:id="0"/>
    </w:p>
    <w:p w14:paraId="459080BD" w14:textId="77777777" w:rsidR="009155A0" w:rsidRPr="00CA1232" w:rsidRDefault="009155A0" w:rsidP="009155A0">
      <w:pPr>
        <w:rPr>
          <w:sz w:val="24"/>
          <w:szCs w:val="24"/>
        </w:rPr>
      </w:pPr>
    </w:p>
    <w:p w14:paraId="53A79E56" w14:textId="77777777" w:rsidR="009155A0" w:rsidRPr="00CA1232" w:rsidRDefault="009155A0" w:rsidP="009155A0">
      <w:pPr>
        <w:rPr>
          <w:sz w:val="24"/>
          <w:szCs w:val="24"/>
        </w:rPr>
      </w:pPr>
      <w:r w:rsidRPr="00CA1232">
        <w:rPr>
          <w:sz w:val="24"/>
          <w:szCs w:val="24"/>
        </w:rPr>
        <w:t xml:space="preserve">AERMOD </w:t>
      </w:r>
      <w:r w:rsidRPr="00CA1232">
        <w:rPr>
          <w:sz w:val="24"/>
          <w:szCs w:val="24"/>
        </w:rPr>
        <w:tab/>
        <w:t>AMS/EPA Regulatory Model</w:t>
      </w:r>
    </w:p>
    <w:p w14:paraId="6072349D" w14:textId="77777777" w:rsidR="009155A0" w:rsidRPr="00CA1232" w:rsidRDefault="009155A0" w:rsidP="009155A0">
      <w:pPr>
        <w:rPr>
          <w:sz w:val="24"/>
          <w:szCs w:val="24"/>
        </w:rPr>
      </w:pPr>
      <w:r w:rsidRPr="00CA1232">
        <w:rPr>
          <w:sz w:val="24"/>
          <w:szCs w:val="24"/>
        </w:rPr>
        <w:t xml:space="preserve">AQCR </w:t>
      </w:r>
      <w:r w:rsidRPr="00CA1232">
        <w:rPr>
          <w:sz w:val="24"/>
          <w:szCs w:val="24"/>
        </w:rPr>
        <w:tab/>
        <w:t>Air Quality Control Region</w:t>
      </w:r>
    </w:p>
    <w:p w14:paraId="1859500B" w14:textId="77777777" w:rsidR="009155A0" w:rsidRPr="00CA1232" w:rsidRDefault="009155A0" w:rsidP="009155A0">
      <w:pPr>
        <w:rPr>
          <w:sz w:val="24"/>
          <w:szCs w:val="24"/>
        </w:rPr>
      </w:pPr>
      <w:r w:rsidRPr="00CA1232">
        <w:rPr>
          <w:sz w:val="24"/>
          <w:szCs w:val="24"/>
        </w:rPr>
        <w:t xml:space="preserve">ARM </w:t>
      </w:r>
      <w:r w:rsidRPr="00CA1232">
        <w:rPr>
          <w:sz w:val="24"/>
          <w:szCs w:val="24"/>
        </w:rPr>
        <w:tab/>
      </w:r>
      <w:r w:rsidRPr="00CA1232">
        <w:rPr>
          <w:sz w:val="24"/>
          <w:szCs w:val="24"/>
        </w:rPr>
        <w:tab/>
        <w:t>Ambient Ratio Method</w:t>
      </w:r>
    </w:p>
    <w:p w14:paraId="356063C7" w14:textId="77777777" w:rsidR="00063758" w:rsidRPr="00CA1232" w:rsidRDefault="00063758" w:rsidP="009155A0">
      <w:pPr>
        <w:rPr>
          <w:sz w:val="24"/>
          <w:szCs w:val="24"/>
        </w:rPr>
      </w:pPr>
      <w:r w:rsidRPr="00CA1232">
        <w:rPr>
          <w:sz w:val="24"/>
          <w:szCs w:val="24"/>
        </w:rPr>
        <w:t>ARM2</w:t>
      </w:r>
      <w:r w:rsidRPr="00CA1232">
        <w:rPr>
          <w:sz w:val="24"/>
          <w:szCs w:val="24"/>
        </w:rPr>
        <w:tab/>
      </w:r>
      <w:r w:rsidRPr="00CA1232">
        <w:rPr>
          <w:sz w:val="24"/>
          <w:szCs w:val="24"/>
        </w:rPr>
        <w:tab/>
      </w:r>
      <w:r w:rsidR="007553F7" w:rsidRPr="00CA1232">
        <w:rPr>
          <w:sz w:val="24"/>
          <w:szCs w:val="24"/>
        </w:rPr>
        <w:t>Ambient Ratio Method Version 2</w:t>
      </w:r>
    </w:p>
    <w:p w14:paraId="4DE0A275" w14:textId="77777777" w:rsidR="00063758" w:rsidRPr="00CA1232" w:rsidRDefault="00063758" w:rsidP="009155A0">
      <w:pPr>
        <w:rPr>
          <w:sz w:val="24"/>
          <w:szCs w:val="24"/>
        </w:rPr>
      </w:pPr>
      <w:r w:rsidRPr="00CA1232">
        <w:rPr>
          <w:sz w:val="24"/>
          <w:szCs w:val="24"/>
        </w:rPr>
        <w:t>CAA</w:t>
      </w:r>
      <w:r w:rsidRPr="00CA1232">
        <w:rPr>
          <w:sz w:val="24"/>
          <w:szCs w:val="24"/>
        </w:rPr>
        <w:tab/>
      </w:r>
      <w:r w:rsidRPr="00CA1232">
        <w:rPr>
          <w:sz w:val="24"/>
          <w:szCs w:val="24"/>
        </w:rPr>
        <w:tab/>
        <w:t>Clean Air Act</w:t>
      </w:r>
    </w:p>
    <w:p w14:paraId="3DC54230" w14:textId="77777777" w:rsidR="009155A0" w:rsidRPr="00CA1232" w:rsidRDefault="009155A0" w:rsidP="009155A0">
      <w:pPr>
        <w:rPr>
          <w:sz w:val="24"/>
          <w:szCs w:val="24"/>
        </w:rPr>
      </w:pPr>
      <w:r w:rsidRPr="00CA1232">
        <w:rPr>
          <w:sz w:val="24"/>
          <w:szCs w:val="24"/>
        </w:rPr>
        <w:t xml:space="preserve">CFR </w:t>
      </w:r>
      <w:r w:rsidRPr="00CA1232">
        <w:rPr>
          <w:sz w:val="24"/>
          <w:szCs w:val="24"/>
        </w:rPr>
        <w:tab/>
      </w:r>
      <w:r w:rsidRPr="00CA1232">
        <w:rPr>
          <w:sz w:val="24"/>
          <w:szCs w:val="24"/>
        </w:rPr>
        <w:tab/>
        <w:t>Code of Federal Regulations</w:t>
      </w:r>
    </w:p>
    <w:p w14:paraId="5389038D" w14:textId="77777777" w:rsidR="009155A0" w:rsidRPr="00CA1232" w:rsidRDefault="009155A0" w:rsidP="009155A0">
      <w:pPr>
        <w:rPr>
          <w:sz w:val="24"/>
          <w:szCs w:val="24"/>
        </w:rPr>
      </w:pPr>
      <w:r w:rsidRPr="00CA1232">
        <w:rPr>
          <w:sz w:val="24"/>
          <w:szCs w:val="24"/>
        </w:rPr>
        <w:t xml:space="preserve">CO </w:t>
      </w:r>
      <w:r w:rsidRPr="00CA1232">
        <w:rPr>
          <w:sz w:val="24"/>
          <w:szCs w:val="24"/>
        </w:rPr>
        <w:tab/>
      </w:r>
      <w:r w:rsidRPr="00CA1232">
        <w:rPr>
          <w:sz w:val="24"/>
          <w:szCs w:val="24"/>
        </w:rPr>
        <w:tab/>
        <w:t>Carbon monoxide</w:t>
      </w:r>
    </w:p>
    <w:p w14:paraId="4A5A2970" w14:textId="77777777" w:rsidR="009155A0" w:rsidRPr="00CA1232" w:rsidRDefault="009155A0" w:rsidP="009155A0">
      <w:pPr>
        <w:rPr>
          <w:sz w:val="24"/>
          <w:szCs w:val="24"/>
        </w:rPr>
      </w:pPr>
      <w:r w:rsidRPr="00CA1232">
        <w:rPr>
          <w:sz w:val="24"/>
          <w:szCs w:val="24"/>
        </w:rPr>
        <w:t xml:space="preserve">EPA </w:t>
      </w:r>
      <w:r w:rsidRPr="00CA1232">
        <w:rPr>
          <w:sz w:val="24"/>
          <w:szCs w:val="24"/>
        </w:rPr>
        <w:tab/>
      </w:r>
      <w:r w:rsidRPr="00CA1232">
        <w:rPr>
          <w:sz w:val="24"/>
          <w:szCs w:val="24"/>
        </w:rPr>
        <w:tab/>
        <w:t>Environmental Protection Agency</w:t>
      </w:r>
    </w:p>
    <w:p w14:paraId="7FF49922" w14:textId="77777777" w:rsidR="009155A0" w:rsidRPr="00CA1232" w:rsidRDefault="009155A0" w:rsidP="009155A0">
      <w:pPr>
        <w:rPr>
          <w:sz w:val="24"/>
          <w:szCs w:val="24"/>
        </w:rPr>
      </w:pPr>
      <w:r w:rsidRPr="00CA1232">
        <w:rPr>
          <w:sz w:val="24"/>
          <w:szCs w:val="24"/>
        </w:rPr>
        <w:t xml:space="preserve">GEP </w:t>
      </w:r>
      <w:r w:rsidRPr="00CA1232">
        <w:rPr>
          <w:sz w:val="24"/>
          <w:szCs w:val="24"/>
        </w:rPr>
        <w:tab/>
      </w:r>
      <w:r w:rsidRPr="00CA1232">
        <w:rPr>
          <w:sz w:val="24"/>
          <w:szCs w:val="24"/>
        </w:rPr>
        <w:tab/>
        <w:t>Good Engineering Practice</w:t>
      </w:r>
    </w:p>
    <w:p w14:paraId="65A39952" w14:textId="77777777" w:rsidR="00971AA0" w:rsidRPr="00CA1232" w:rsidRDefault="00971AA0" w:rsidP="009155A0">
      <w:pPr>
        <w:rPr>
          <w:sz w:val="24"/>
          <w:szCs w:val="24"/>
        </w:rPr>
      </w:pPr>
      <w:r w:rsidRPr="00CA1232">
        <w:rPr>
          <w:sz w:val="24"/>
          <w:szCs w:val="24"/>
        </w:rPr>
        <w:t>MCHM</w:t>
      </w:r>
      <w:r w:rsidRPr="00CA1232">
        <w:rPr>
          <w:sz w:val="24"/>
          <w:szCs w:val="24"/>
        </w:rPr>
        <w:tab/>
        <w:t>Model Clearinghouse Memo</w:t>
      </w:r>
    </w:p>
    <w:p w14:paraId="503DD540" w14:textId="77777777" w:rsidR="00063758" w:rsidRPr="00CA1232" w:rsidRDefault="00063758" w:rsidP="009155A0">
      <w:pPr>
        <w:rPr>
          <w:sz w:val="24"/>
          <w:szCs w:val="24"/>
        </w:rPr>
      </w:pPr>
      <w:r w:rsidRPr="00CA1232">
        <w:rPr>
          <w:sz w:val="24"/>
          <w:szCs w:val="24"/>
        </w:rPr>
        <w:t>MERP</w:t>
      </w:r>
      <w:r w:rsidRPr="00CA1232">
        <w:rPr>
          <w:sz w:val="24"/>
          <w:szCs w:val="24"/>
        </w:rPr>
        <w:tab/>
      </w:r>
      <w:r w:rsidRPr="00CA1232">
        <w:rPr>
          <w:sz w:val="24"/>
          <w:szCs w:val="24"/>
        </w:rPr>
        <w:tab/>
      </w:r>
      <w:r w:rsidR="007553F7" w:rsidRPr="00CA1232">
        <w:rPr>
          <w:sz w:val="24"/>
          <w:szCs w:val="24"/>
        </w:rPr>
        <w:t>Modeled Emission Rates for Precursors</w:t>
      </w:r>
    </w:p>
    <w:p w14:paraId="6F2AD8C1" w14:textId="77777777" w:rsidR="009155A0" w:rsidRPr="00CA1232" w:rsidRDefault="009155A0" w:rsidP="009155A0">
      <w:pPr>
        <w:rPr>
          <w:sz w:val="24"/>
          <w:szCs w:val="24"/>
        </w:rPr>
      </w:pPr>
      <w:r w:rsidRPr="00CA1232">
        <w:rPr>
          <w:sz w:val="24"/>
          <w:szCs w:val="24"/>
        </w:rPr>
        <w:t xml:space="preserve">NAAQS </w:t>
      </w:r>
      <w:r w:rsidRPr="00CA1232">
        <w:rPr>
          <w:sz w:val="24"/>
          <w:szCs w:val="24"/>
        </w:rPr>
        <w:tab/>
        <w:t>National ambient air quality standards</w:t>
      </w:r>
    </w:p>
    <w:p w14:paraId="59CA6284" w14:textId="77777777" w:rsidR="009155A0" w:rsidRPr="00CA1232" w:rsidRDefault="009155A0" w:rsidP="009155A0">
      <w:pPr>
        <w:rPr>
          <w:sz w:val="24"/>
          <w:szCs w:val="24"/>
        </w:rPr>
      </w:pPr>
      <w:r w:rsidRPr="00CA1232">
        <w:rPr>
          <w:sz w:val="24"/>
          <w:szCs w:val="24"/>
        </w:rPr>
        <w:t xml:space="preserve">NDEQ </w:t>
      </w:r>
      <w:r w:rsidRPr="00CA1232">
        <w:rPr>
          <w:sz w:val="24"/>
          <w:szCs w:val="24"/>
        </w:rPr>
        <w:tab/>
        <w:t>Nebraska Department of Environmental Quality</w:t>
      </w:r>
    </w:p>
    <w:p w14:paraId="44324C47" w14:textId="77777777" w:rsidR="00112BD6" w:rsidRPr="00CA1232" w:rsidRDefault="00112BD6" w:rsidP="009155A0">
      <w:pPr>
        <w:rPr>
          <w:sz w:val="24"/>
          <w:szCs w:val="24"/>
        </w:rPr>
      </w:pPr>
      <w:r w:rsidRPr="00CA1232">
        <w:rPr>
          <w:sz w:val="24"/>
          <w:szCs w:val="24"/>
        </w:rPr>
        <w:t>NED</w:t>
      </w:r>
      <w:r w:rsidRPr="00CA1232">
        <w:rPr>
          <w:sz w:val="24"/>
          <w:szCs w:val="24"/>
        </w:rPr>
        <w:tab/>
      </w:r>
      <w:r w:rsidRPr="00CA1232">
        <w:rPr>
          <w:sz w:val="24"/>
          <w:szCs w:val="24"/>
        </w:rPr>
        <w:tab/>
        <w:t xml:space="preserve">National Elevation Dataset </w:t>
      </w:r>
    </w:p>
    <w:p w14:paraId="58A50FF7" w14:textId="77777777" w:rsidR="007553F7" w:rsidRPr="00CA1232" w:rsidRDefault="007553F7" w:rsidP="007553F7">
      <w:pPr>
        <w:rPr>
          <w:sz w:val="24"/>
          <w:szCs w:val="24"/>
        </w:rPr>
      </w:pPr>
      <w:r w:rsidRPr="00CA1232">
        <w:rPr>
          <w:sz w:val="24"/>
          <w:szCs w:val="24"/>
        </w:rPr>
        <w:t>NO</w:t>
      </w:r>
      <w:r w:rsidRPr="00CA1232">
        <w:rPr>
          <w:sz w:val="24"/>
          <w:szCs w:val="24"/>
          <w:vertAlign w:val="subscript"/>
        </w:rPr>
        <w:t>2</w:t>
      </w:r>
      <w:r w:rsidRPr="00CA1232">
        <w:rPr>
          <w:sz w:val="24"/>
          <w:szCs w:val="24"/>
          <w:vertAlign w:val="subscript"/>
        </w:rPr>
        <w:tab/>
      </w:r>
      <w:r w:rsidRPr="00CA1232">
        <w:rPr>
          <w:sz w:val="24"/>
          <w:szCs w:val="24"/>
          <w:vertAlign w:val="subscript"/>
        </w:rPr>
        <w:tab/>
      </w:r>
      <w:r w:rsidRPr="00CA1232">
        <w:rPr>
          <w:sz w:val="24"/>
          <w:szCs w:val="24"/>
        </w:rPr>
        <w:t>Nitrogen Dioxide</w:t>
      </w:r>
    </w:p>
    <w:p w14:paraId="4F625E35" w14:textId="77777777" w:rsidR="009155A0" w:rsidRPr="00CA1232" w:rsidRDefault="009155A0" w:rsidP="009155A0">
      <w:pPr>
        <w:rPr>
          <w:sz w:val="24"/>
          <w:szCs w:val="24"/>
        </w:rPr>
      </w:pPr>
      <w:r w:rsidRPr="00CA1232">
        <w:rPr>
          <w:sz w:val="24"/>
          <w:szCs w:val="24"/>
        </w:rPr>
        <w:t xml:space="preserve">NOx </w:t>
      </w:r>
      <w:r w:rsidRPr="00CA1232">
        <w:rPr>
          <w:sz w:val="24"/>
          <w:szCs w:val="24"/>
        </w:rPr>
        <w:tab/>
      </w:r>
      <w:r w:rsidRPr="00CA1232">
        <w:rPr>
          <w:sz w:val="24"/>
          <w:szCs w:val="24"/>
        </w:rPr>
        <w:tab/>
        <w:t>Nitrogen oxides</w:t>
      </w:r>
    </w:p>
    <w:p w14:paraId="0BC4EB2D" w14:textId="77777777" w:rsidR="009155A0" w:rsidRPr="00CA1232" w:rsidRDefault="009155A0" w:rsidP="009155A0">
      <w:pPr>
        <w:rPr>
          <w:sz w:val="24"/>
          <w:szCs w:val="24"/>
        </w:rPr>
      </w:pPr>
      <w:r w:rsidRPr="00CA1232">
        <w:rPr>
          <w:sz w:val="24"/>
          <w:szCs w:val="24"/>
        </w:rPr>
        <w:t xml:space="preserve">NSPS </w:t>
      </w:r>
      <w:r w:rsidRPr="00CA1232">
        <w:rPr>
          <w:sz w:val="24"/>
          <w:szCs w:val="24"/>
        </w:rPr>
        <w:tab/>
      </w:r>
      <w:r w:rsidRPr="00CA1232">
        <w:rPr>
          <w:sz w:val="24"/>
          <w:szCs w:val="24"/>
        </w:rPr>
        <w:tab/>
        <w:t>New Source Performance Standards</w:t>
      </w:r>
    </w:p>
    <w:p w14:paraId="1C7EE19C" w14:textId="77777777" w:rsidR="009155A0" w:rsidRPr="00CA1232" w:rsidRDefault="009155A0" w:rsidP="009155A0">
      <w:pPr>
        <w:rPr>
          <w:sz w:val="24"/>
          <w:szCs w:val="24"/>
        </w:rPr>
      </w:pPr>
      <w:r w:rsidRPr="00CA1232">
        <w:rPr>
          <w:sz w:val="24"/>
          <w:szCs w:val="24"/>
        </w:rPr>
        <w:t xml:space="preserve">OAQPS </w:t>
      </w:r>
      <w:r w:rsidRPr="00CA1232">
        <w:rPr>
          <w:sz w:val="24"/>
          <w:szCs w:val="24"/>
        </w:rPr>
        <w:tab/>
        <w:t>Office of Air Quality Planning and Standards</w:t>
      </w:r>
    </w:p>
    <w:p w14:paraId="4AA1E35B" w14:textId="77777777" w:rsidR="009155A0" w:rsidRPr="00CA1232" w:rsidRDefault="009155A0" w:rsidP="009155A0">
      <w:pPr>
        <w:rPr>
          <w:sz w:val="24"/>
          <w:szCs w:val="24"/>
        </w:rPr>
      </w:pPr>
      <w:r w:rsidRPr="00CA1232">
        <w:rPr>
          <w:sz w:val="24"/>
          <w:szCs w:val="24"/>
        </w:rPr>
        <w:t xml:space="preserve">OLM </w:t>
      </w:r>
      <w:r w:rsidRPr="00CA1232">
        <w:rPr>
          <w:sz w:val="24"/>
          <w:szCs w:val="24"/>
        </w:rPr>
        <w:tab/>
      </w:r>
      <w:r w:rsidRPr="00CA1232">
        <w:rPr>
          <w:sz w:val="24"/>
          <w:szCs w:val="24"/>
        </w:rPr>
        <w:tab/>
        <w:t>Ozone Limiting Method</w:t>
      </w:r>
    </w:p>
    <w:p w14:paraId="3F9BF10D" w14:textId="77777777" w:rsidR="007553F7" w:rsidRPr="00CA1232" w:rsidRDefault="007553F7" w:rsidP="007553F7">
      <w:pPr>
        <w:rPr>
          <w:sz w:val="24"/>
          <w:szCs w:val="24"/>
        </w:rPr>
      </w:pPr>
      <w:r w:rsidRPr="00CA1232">
        <w:rPr>
          <w:sz w:val="24"/>
          <w:szCs w:val="24"/>
        </w:rPr>
        <w:t xml:space="preserve">Pb </w:t>
      </w:r>
      <w:r w:rsidRPr="00CA1232">
        <w:rPr>
          <w:sz w:val="24"/>
          <w:szCs w:val="24"/>
        </w:rPr>
        <w:tab/>
      </w:r>
      <w:r w:rsidRPr="00CA1232">
        <w:rPr>
          <w:sz w:val="24"/>
          <w:szCs w:val="24"/>
        </w:rPr>
        <w:tab/>
        <w:t>Lead</w:t>
      </w:r>
    </w:p>
    <w:p w14:paraId="5C7B5524" w14:textId="77777777" w:rsidR="007553F7" w:rsidRPr="00CA1232" w:rsidRDefault="007553F7" w:rsidP="007553F7">
      <w:pPr>
        <w:rPr>
          <w:sz w:val="24"/>
          <w:szCs w:val="24"/>
        </w:rPr>
      </w:pPr>
      <w:r w:rsidRPr="00CA1232">
        <w:rPr>
          <w:sz w:val="24"/>
          <w:szCs w:val="24"/>
        </w:rPr>
        <w:t>PM</w:t>
      </w:r>
      <w:r w:rsidRPr="00CA1232">
        <w:rPr>
          <w:sz w:val="24"/>
          <w:szCs w:val="24"/>
          <w:vertAlign w:val="subscript"/>
        </w:rPr>
        <w:t>2.5</w:t>
      </w:r>
      <w:r w:rsidRPr="00CA1232">
        <w:rPr>
          <w:sz w:val="24"/>
          <w:szCs w:val="24"/>
        </w:rPr>
        <w:tab/>
      </w:r>
      <w:r w:rsidRPr="00CA1232">
        <w:rPr>
          <w:sz w:val="24"/>
          <w:szCs w:val="24"/>
        </w:rPr>
        <w:tab/>
        <w:t>Particulate matter, less than 2.5 micrometers in diameter</w:t>
      </w:r>
    </w:p>
    <w:p w14:paraId="027E229E" w14:textId="77777777" w:rsidR="007553F7" w:rsidRPr="00CA1232" w:rsidRDefault="007553F7" w:rsidP="009155A0">
      <w:pPr>
        <w:rPr>
          <w:sz w:val="24"/>
          <w:szCs w:val="24"/>
        </w:rPr>
      </w:pPr>
      <w:r w:rsidRPr="00CA1232">
        <w:rPr>
          <w:sz w:val="24"/>
          <w:szCs w:val="24"/>
        </w:rPr>
        <w:t>PM</w:t>
      </w:r>
      <w:r w:rsidRPr="00CA1232">
        <w:rPr>
          <w:sz w:val="24"/>
          <w:szCs w:val="24"/>
          <w:vertAlign w:val="subscript"/>
        </w:rPr>
        <w:t>10</w:t>
      </w:r>
      <w:r w:rsidRPr="00CA1232">
        <w:rPr>
          <w:sz w:val="24"/>
          <w:szCs w:val="24"/>
        </w:rPr>
        <w:t xml:space="preserve"> </w:t>
      </w:r>
      <w:r w:rsidRPr="00CA1232">
        <w:rPr>
          <w:sz w:val="24"/>
          <w:szCs w:val="24"/>
        </w:rPr>
        <w:tab/>
      </w:r>
      <w:r w:rsidRPr="00CA1232">
        <w:rPr>
          <w:sz w:val="24"/>
          <w:szCs w:val="24"/>
        </w:rPr>
        <w:tab/>
        <w:t>Particulate matter, less than 10 micrometers in diameter</w:t>
      </w:r>
    </w:p>
    <w:p w14:paraId="3C02C763" w14:textId="77777777" w:rsidR="00063758" w:rsidRPr="00CA1232" w:rsidRDefault="00063758" w:rsidP="009155A0">
      <w:pPr>
        <w:rPr>
          <w:sz w:val="24"/>
          <w:szCs w:val="24"/>
        </w:rPr>
      </w:pPr>
      <w:r w:rsidRPr="00CA1232">
        <w:rPr>
          <w:sz w:val="24"/>
          <w:szCs w:val="24"/>
        </w:rPr>
        <w:t>PTE</w:t>
      </w:r>
      <w:r w:rsidRPr="00CA1232">
        <w:rPr>
          <w:sz w:val="24"/>
          <w:szCs w:val="24"/>
        </w:rPr>
        <w:tab/>
      </w:r>
      <w:r w:rsidRPr="00CA1232">
        <w:rPr>
          <w:sz w:val="24"/>
          <w:szCs w:val="24"/>
        </w:rPr>
        <w:tab/>
        <w:t xml:space="preserve">Potential </w:t>
      </w:r>
      <w:proofErr w:type="gramStart"/>
      <w:r w:rsidRPr="00CA1232">
        <w:rPr>
          <w:sz w:val="24"/>
          <w:szCs w:val="24"/>
        </w:rPr>
        <w:t>To</w:t>
      </w:r>
      <w:proofErr w:type="gramEnd"/>
      <w:r w:rsidRPr="00CA1232">
        <w:rPr>
          <w:sz w:val="24"/>
          <w:szCs w:val="24"/>
        </w:rPr>
        <w:t xml:space="preserve"> Emit</w:t>
      </w:r>
    </w:p>
    <w:p w14:paraId="51A7FF73" w14:textId="77777777" w:rsidR="009155A0" w:rsidRPr="00CA1232" w:rsidRDefault="009155A0" w:rsidP="009155A0">
      <w:pPr>
        <w:rPr>
          <w:sz w:val="24"/>
          <w:szCs w:val="24"/>
        </w:rPr>
      </w:pPr>
      <w:r w:rsidRPr="00CA1232">
        <w:rPr>
          <w:sz w:val="24"/>
          <w:szCs w:val="24"/>
        </w:rPr>
        <w:t xml:space="preserve">PSD </w:t>
      </w:r>
      <w:r w:rsidRPr="00CA1232">
        <w:rPr>
          <w:sz w:val="24"/>
          <w:szCs w:val="24"/>
        </w:rPr>
        <w:tab/>
      </w:r>
      <w:r w:rsidRPr="00CA1232">
        <w:rPr>
          <w:sz w:val="24"/>
          <w:szCs w:val="24"/>
        </w:rPr>
        <w:tab/>
        <w:t>Prevention of Significant Deterioration</w:t>
      </w:r>
    </w:p>
    <w:p w14:paraId="34FFD17E" w14:textId="77777777" w:rsidR="009155A0" w:rsidRPr="00CA1232" w:rsidRDefault="009155A0" w:rsidP="009155A0">
      <w:pPr>
        <w:rPr>
          <w:sz w:val="24"/>
          <w:szCs w:val="24"/>
        </w:rPr>
      </w:pPr>
      <w:r w:rsidRPr="00CA1232">
        <w:rPr>
          <w:sz w:val="24"/>
          <w:szCs w:val="24"/>
        </w:rPr>
        <w:t>PVMRM</w:t>
      </w:r>
      <w:r w:rsidRPr="00CA1232">
        <w:rPr>
          <w:sz w:val="24"/>
          <w:szCs w:val="24"/>
        </w:rPr>
        <w:tab/>
        <w:t>Plume Volume Molar Ratio Method</w:t>
      </w:r>
    </w:p>
    <w:p w14:paraId="5514AC22" w14:textId="77777777" w:rsidR="009155A0" w:rsidRPr="00CA1232" w:rsidRDefault="009155A0" w:rsidP="009155A0">
      <w:pPr>
        <w:rPr>
          <w:sz w:val="24"/>
          <w:szCs w:val="24"/>
        </w:rPr>
      </w:pPr>
      <w:r w:rsidRPr="00CA1232">
        <w:rPr>
          <w:sz w:val="24"/>
          <w:szCs w:val="24"/>
        </w:rPr>
        <w:t xml:space="preserve">SCRAM </w:t>
      </w:r>
      <w:r w:rsidRPr="00CA1232">
        <w:rPr>
          <w:sz w:val="24"/>
          <w:szCs w:val="24"/>
        </w:rPr>
        <w:tab/>
        <w:t>Support Center for Regulatory Air Models</w:t>
      </w:r>
    </w:p>
    <w:p w14:paraId="151C7AA2" w14:textId="77777777" w:rsidR="009155A0" w:rsidRPr="00CA1232" w:rsidRDefault="009155A0" w:rsidP="009155A0">
      <w:pPr>
        <w:rPr>
          <w:sz w:val="24"/>
          <w:szCs w:val="24"/>
        </w:rPr>
      </w:pPr>
      <w:r w:rsidRPr="00CA1232">
        <w:rPr>
          <w:sz w:val="24"/>
          <w:szCs w:val="24"/>
        </w:rPr>
        <w:t xml:space="preserve">SIP </w:t>
      </w:r>
      <w:r w:rsidRPr="00CA1232">
        <w:rPr>
          <w:sz w:val="24"/>
          <w:szCs w:val="24"/>
        </w:rPr>
        <w:tab/>
      </w:r>
      <w:r w:rsidRPr="00CA1232">
        <w:rPr>
          <w:sz w:val="24"/>
          <w:szCs w:val="24"/>
        </w:rPr>
        <w:tab/>
      </w:r>
      <w:r w:rsidR="003C3872" w:rsidRPr="00CA1232">
        <w:rPr>
          <w:sz w:val="24"/>
          <w:szCs w:val="24"/>
        </w:rPr>
        <w:t>State Implementation</w:t>
      </w:r>
      <w:r w:rsidRPr="00CA1232">
        <w:rPr>
          <w:sz w:val="24"/>
          <w:szCs w:val="24"/>
        </w:rPr>
        <w:t xml:space="preserve"> Plan</w:t>
      </w:r>
    </w:p>
    <w:p w14:paraId="00994A02" w14:textId="77777777" w:rsidR="007553F7" w:rsidRPr="00CA1232" w:rsidRDefault="007553F7" w:rsidP="009155A0">
      <w:pPr>
        <w:rPr>
          <w:sz w:val="24"/>
          <w:szCs w:val="24"/>
        </w:rPr>
      </w:pPr>
      <w:r w:rsidRPr="00CA1232">
        <w:rPr>
          <w:sz w:val="24"/>
          <w:szCs w:val="24"/>
        </w:rPr>
        <w:t>SO</w:t>
      </w:r>
      <w:r w:rsidRPr="00CA1232">
        <w:rPr>
          <w:sz w:val="24"/>
          <w:szCs w:val="24"/>
          <w:vertAlign w:val="subscript"/>
        </w:rPr>
        <w:t>2</w:t>
      </w:r>
      <w:r w:rsidRPr="00CA1232">
        <w:rPr>
          <w:sz w:val="24"/>
          <w:szCs w:val="24"/>
        </w:rPr>
        <w:tab/>
      </w:r>
      <w:r w:rsidRPr="00CA1232">
        <w:rPr>
          <w:sz w:val="24"/>
          <w:szCs w:val="24"/>
        </w:rPr>
        <w:tab/>
        <w:t>Sulfur Dioxide</w:t>
      </w:r>
    </w:p>
    <w:p w14:paraId="13B8E833" w14:textId="77777777" w:rsidR="009155A0" w:rsidRPr="00CA1232" w:rsidRDefault="009155A0" w:rsidP="009155A0">
      <w:pPr>
        <w:rPr>
          <w:sz w:val="24"/>
          <w:szCs w:val="24"/>
        </w:rPr>
      </w:pPr>
      <w:proofErr w:type="spellStart"/>
      <w:r w:rsidRPr="00CA1232">
        <w:rPr>
          <w:sz w:val="24"/>
          <w:szCs w:val="24"/>
        </w:rPr>
        <w:t>SOx</w:t>
      </w:r>
      <w:proofErr w:type="spellEnd"/>
      <w:r w:rsidRPr="00CA1232">
        <w:rPr>
          <w:sz w:val="24"/>
          <w:szCs w:val="24"/>
        </w:rPr>
        <w:t xml:space="preserve"> </w:t>
      </w:r>
      <w:r w:rsidRPr="00CA1232">
        <w:rPr>
          <w:sz w:val="24"/>
          <w:szCs w:val="24"/>
        </w:rPr>
        <w:tab/>
      </w:r>
      <w:r w:rsidRPr="00CA1232">
        <w:rPr>
          <w:sz w:val="24"/>
          <w:szCs w:val="24"/>
        </w:rPr>
        <w:tab/>
        <w:t>Sulfur oxides</w:t>
      </w:r>
    </w:p>
    <w:p w14:paraId="37B0AC38" w14:textId="77777777" w:rsidR="00063758" w:rsidRPr="00CA1232" w:rsidRDefault="00063758" w:rsidP="009155A0">
      <w:pPr>
        <w:rPr>
          <w:sz w:val="24"/>
          <w:szCs w:val="24"/>
        </w:rPr>
      </w:pPr>
      <w:r w:rsidRPr="00CA1232">
        <w:rPr>
          <w:sz w:val="24"/>
          <w:szCs w:val="24"/>
        </w:rPr>
        <w:t>tpy</w:t>
      </w:r>
      <w:r w:rsidRPr="00CA1232">
        <w:rPr>
          <w:sz w:val="24"/>
          <w:szCs w:val="24"/>
        </w:rPr>
        <w:tab/>
      </w:r>
      <w:r w:rsidRPr="00CA1232">
        <w:rPr>
          <w:sz w:val="24"/>
          <w:szCs w:val="24"/>
        </w:rPr>
        <w:tab/>
        <w:t>Tons per year</w:t>
      </w:r>
    </w:p>
    <w:p w14:paraId="0FCBAE76" w14:textId="77777777" w:rsidR="00063758" w:rsidRPr="00CA1232" w:rsidRDefault="00063758" w:rsidP="009155A0">
      <w:pPr>
        <w:rPr>
          <w:sz w:val="24"/>
          <w:szCs w:val="24"/>
        </w:rPr>
      </w:pPr>
      <w:proofErr w:type="spellStart"/>
      <w:r w:rsidRPr="00CA1232">
        <w:rPr>
          <w:sz w:val="24"/>
          <w:szCs w:val="24"/>
        </w:rPr>
        <w:t>μg</w:t>
      </w:r>
      <w:proofErr w:type="spellEnd"/>
      <w:r w:rsidRPr="00CA1232">
        <w:rPr>
          <w:sz w:val="24"/>
          <w:szCs w:val="24"/>
        </w:rPr>
        <w:t>/m</w:t>
      </w:r>
      <w:r w:rsidRPr="00CA1232">
        <w:rPr>
          <w:sz w:val="24"/>
          <w:szCs w:val="24"/>
          <w:vertAlign w:val="superscript"/>
        </w:rPr>
        <w:t>3</w:t>
      </w:r>
      <w:r w:rsidRPr="00CA1232">
        <w:rPr>
          <w:sz w:val="24"/>
          <w:szCs w:val="24"/>
        </w:rPr>
        <w:tab/>
      </w:r>
      <w:r w:rsidR="00890A4B" w:rsidRPr="00CA1232">
        <w:rPr>
          <w:sz w:val="24"/>
          <w:szCs w:val="24"/>
        </w:rPr>
        <w:tab/>
      </w:r>
      <w:r w:rsidRPr="00CA1232">
        <w:rPr>
          <w:sz w:val="24"/>
          <w:szCs w:val="24"/>
        </w:rPr>
        <w:t>Micrograms per cubic meter</w:t>
      </w:r>
    </w:p>
    <w:p w14:paraId="13F09307" w14:textId="77777777" w:rsidR="009155A0" w:rsidRPr="00CA1232" w:rsidRDefault="009155A0" w:rsidP="009155A0">
      <w:pPr>
        <w:rPr>
          <w:sz w:val="24"/>
          <w:szCs w:val="24"/>
        </w:rPr>
      </w:pPr>
      <w:r w:rsidRPr="00CA1232">
        <w:rPr>
          <w:sz w:val="24"/>
          <w:szCs w:val="24"/>
        </w:rPr>
        <w:t xml:space="preserve">USGS </w:t>
      </w:r>
      <w:r w:rsidRPr="00CA1232">
        <w:rPr>
          <w:sz w:val="24"/>
          <w:szCs w:val="24"/>
        </w:rPr>
        <w:tab/>
      </w:r>
      <w:r w:rsidRPr="00CA1232">
        <w:rPr>
          <w:sz w:val="24"/>
          <w:szCs w:val="24"/>
        </w:rPr>
        <w:tab/>
        <w:t>United States Geological Society</w:t>
      </w:r>
    </w:p>
    <w:p w14:paraId="0F4522D3" w14:textId="77777777" w:rsidR="009155A0" w:rsidRPr="00CA1232" w:rsidRDefault="009155A0" w:rsidP="009155A0">
      <w:pPr>
        <w:rPr>
          <w:sz w:val="24"/>
          <w:szCs w:val="24"/>
        </w:rPr>
      </w:pPr>
      <w:r w:rsidRPr="00CA1232">
        <w:rPr>
          <w:sz w:val="24"/>
          <w:szCs w:val="24"/>
        </w:rPr>
        <w:t>UTM</w:t>
      </w:r>
      <w:r w:rsidRPr="00CA1232">
        <w:rPr>
          <w:sz w:val="24"/>
          <w:szCs w:val="24"/>
        </w:rPr>
        <w:tab/>
      </w:r>
      <w:r w:rsidRPr="00CA1232">
        <w:rPr>
          <w:sz w:val="24"/>
          <w:szCs w:val="24"/>
        </w:rPr>
        <w:tab/>
        <w:t>Universal Transverse Mercator coordinate system</w:t>
      </w:r>
    </w:p>
    <w:p w14:paraId="6A55C3BA" w14:textId="77777777" w:rsidR="009155A0" w:rsidRPr="00CA1232" w:rsidRDefault="009155A0" w:rsidP="009155A0">
      <w:pPr>
        <w:rPr>
          <w:sz w:val="24"/>
          <w:szCs w:val="24"/>
        </w:rPr>
      </w:pPr>
      <w:r w:rsidRPr="00CA1232">
        <w:rPr>
          <w:sz w:val="24"/>
          <w:szCs w:val="24"/>
        </w:rPr>
        <w:t xml:space="preserve">VOC </w:t>
      </w:r>
      <w:r w:rsidRPr="00CA1232">
        <w:rPr>
          <w:sz w:val="24"/>
          <w:szCs w:val="24"/>
        </w:rPr>
        <w:tab/>
      </w:r>
      <w:r w:rsidRPr="00CA1232">
        <w:rPr>
          <w:sz w:val="24"/>
          <w:szCs w:val="24"/>
        </w:rPr>
        <w:tab/>
        <w:t>Volatile Organic Compounds</w:t>
      </w:r>
    </w:p>
    <w:p w14:paraId="7742B6EB" w14:textId="77777777" w:rsidR="009155A0" w:rsidRPr="00CA1232" w:rsidRDefault="009155A0" w:rsidP="009155A0">
      <w:pPr>
        <w:rPr>
          <w:sz w:val="24"/>
          <w:szCs w:val="24"/>
        </w:rPr>
      </w:pPr>
    </w:p>
    <w:p w14:paraId="55705B58" w14:textId="77777777" w:rsidR="009155A0" w:rsidRPr="00CA1232" w:rsidRDefault="009155A0" w:rsidP="009155A0">
      <w:pPr>
        <w:rPr>
          <w:sz w:val="24"/>
          <w:szCs w:val="24"/>
        </w:rPr>
      </w:pPr>
    </w:p>
    <w:p w14:paraId="526D101E" w14:textId="77777777" w:rsidR="000E29C9" w:rsidRDefault="000E29C9">
      <w:r>
        <w:br w:type="page"/>
      </w:r>
    </w:p>
    <w:p w14:paraId="3D101DE0" w14:textId="77777777" w:rsidR="00182AC5" w:rsidRPr="00D511FD" w:rsidRDefault="00BA7EDD" w:rsidP="00D511FD">
      <w:pPr>
        <w:pStyle w:val="Heading1"/>
      </w:pPr>
      <w:bookmarkStart w:id="1" w:name="_Toc489256234"/>
      <w:r w:rsidRPr="00D511FD">
        <w:lastRenderedPageBreak/>
        <w:t>I</w:t>
      </w:r>
      <w:r w:rsidR="003075FA" w:rsidRPr="00D511FD">
        <w:t>ntro</w:t>
      </w:r>
      <w:r w:rsidR="00182AC5" w:rsidRPr="00D511FD">
        <w:t>duction</w:t>
      </w:r>
      <w:bookmarkEnd w:id="1"/>
    </w:p>
    <w:p w14:paraId="2E56DF16" w14:textId="77777777" w:rsidR="00332D0B" w:rsidRPr="00CA1232" w:rsidRDefault="00182AC5" w:rsidP="00182AC5">
      <w:pPr>
        <w:rPr>
          <w:sz w:val="24"/>
          <w:szCs w:val="24"/>
        </w:rPr>
      </w:pPr>
      <w:r w:rsidRPr="00CA1232">
        <w:rPr>
          <w:sz w:val="24"/>
          <w:szCs w:val="24"/>
        </w:rPr>
        <w:t xml:space="preserve">This </w:t>
      </w:r>
      <w:r w:rsidR="004169DB" w:rsidRPr="00CA1232">
        <w:rPr>
          <w:sz w:val="24"/>
          <w:szCs w:val="24"/>
        </w:rPr>
        <w:t xml:space="preserve">air dispersion modeling </w:t>
      </w:r>
      <w:r w:rsidR="00CF0C50" w:rsidRPr="00CA1232">
        <w:rPr>
          <w:sz w:val="24"/>
          <w:szCs w:val="24"/>
        </w:rPr>
        <w:t xml:space="preserve">guidance </w:t>
      </w:r>
      <w:r w:rsidR="005C3A7A" w:rsidRPr="00CA1232">
        <w:rPr>
          <w:sz w:val="24"/>
          <w:szCs w:val="24"/>
        </w:rPr>
        <w:t xml:space="preserve">is intended to aid air quality construction permit applicants with both </w:t>
      </w:r>
      <w:r w:rsidR="004169DB" w:rsidRPr="00CA1232">
        <w:rPr>
          <w:sz w:val="24"/>
          <w:szCs w:val="24"/>
        </w:rPr>
        <w:t xml:space="preserve">major source </w:t>
      </w:r>
      <w:r w:rsidR="00AC1B8B" w:rsidRPr="00CA1232">
        <w:rPr>
          <w:sz w:val="24"/>
          <w:szCs w:val="24"/>
        </w:rPr>
        <w:t xml:space="preserve">Prevention of Significant Deterioration (PSD) </w:t>
      </w:r>
      <w:r w:rsidR="005C3A7A" w:rsidRPr="00CA1232">
        <w:rPr>
          <w:sz w:val="24"/>
          <w:szCs w:val="24"/>
        </w:rPr>
        <w:t xml:space="preserve">and minor source </w:t>
      </w:r>
      <w:r w:rsidR="004169DB" w:rsidRPr="00CA1232">
        <w:rPr>
          <w:sz w:val="24"/>
          <w:szCs w:val="24"/>
        </w:rPr>
        <w:t>modeling de</w:t>
      </w:r>
      <w:r w:rsidRPr="00CA1232">
        <w:rPr>
          <w:sz w:val="24"/>
          <w:szCs w:val="24"/>
        </w:rPr>
        <w:t>monstrat</w:t>
      </w:r>
      <w:r w:rsidR="0036023A" w:rsidRPr="00CA1232">
        <w:rPr>
          <w:sz w:val="24"/>
          <w:szCs w:val="24"/>
        </w:rPr>
        <w:t>ion</w:t>
      </w:r>
      <w:r w:rsidR="004169DB" w:rsidRPr="00CA1232">
        <w:rPr>
          <w:sz w:val="24"/>
          <w:szCs w:val="24"/>
        </w:rPr>
        <w:t>s.</w:t>
      </w:r>
      <w:r w:rsidR="0039036E" w:rsidRPr="00CA1232">
        <w:rPr>
          <w:sz w:val="24"/>
          <w:szCs w:val="24"/>
        </w:rPr>
        <w:t xml:space="preserve">  </w:t>
      </w:r>
      <w:r w:rsidR="004A59DC" w:rsidRPr="00CA1232">
        <w:rPr>
          <w:sz w:val="24"/>
          <w:szCs w:val="24"/>
        </w:rPr>
        <w:t>Th</w:t>
      </w:r>
      <w:r w:rsidR="00315014" w:rsidRPr="00CA1232">
        <w:rPr>
          <w:sz w:val="24"/>
          <w:szCs w:val="24"/>
        </w:rPr>
        <w:t>e</w:t>
      </w:r>
      <w:r w:rsidR="004A59DC" w:rsidRPr="00CA1232">
        <w:rPr>
          <w:sz w:val="24"/>
          <w:szCs w:val="24"/>
        </w:rPr>
        <w:t xml:space="preserve"> </w:t>
      </w:r>
      <w:r w:rsidR="00AC1B8B" w:rsidRPr="00CA1232">
        <w:rPr>
          <w:sz w:val="24"/>
          <w:szCs w:val="24"/>
        </w:rPr>
        <w:t>guidance</w:t>
      </w:r>
      <w:r w:rsidR="004A59DC" w:rsidRPr="00CA1232">
        <w:rPr>
          <w:sz w:val="24"/>
          <w:szCs w:val="24"/>
        </w:rPr>
        <w:t xml:space="preserve"> </w:t>
      </w:r>
      <w:r w:rsidRPr="00CA1232">
        <w:rPr>
          <w:sz w:val="24"/>
          <w:szCs w:val="24"/>
        </w:rPr>
        <w:t xml:space="preserve">is not intended to present a detailed outline of modeling </w:t>
      </w:r>
      <w:r w:rsidR="0036023A" w:rsidRPr="00CA1232">
        <w:rPr>
          <w:sz w:val="24"/>
          <w:szCs w:val="24"/>
        </w:rPr>
        <w:t>procedure</w:t>
      </w:r>
      <w:r w:rsidR="004169DB" w:rsidRPr="00CA1232">
        <w:rPr>
          <w:sz w:val="24"/>
          <w:szCs w:val="24"/>
        </w:rPr>
        <w:t>s</w:t>
      </w:r>
      <w:r w:rsidR="0038038D" w:rsidRPr="00CA1232">
        <w:rPr>
          <w:sz w:val="24"/>
          <w:szCs w:val="24"/>
        </w:rPr>
        <w:t>.</w:t>
      </w:r>
      <w:r w:rsidR="00AC1B8B" w:rsidRPr="00CA1232">
        <w:rPr>
          <w:sz w:val="24"/>
          <w:szCs w:val="24"/>
        </w:rPr>
        <w:t xml:space="preserve"> </w:t>
      </w:r>
      <w:r w:rsidR="0038038D" w:rsidRPr="00CA1232">
        <w:rPr>
          <w:sz w:val="24"/>
          <w:szCs w:val="24"/>
        </w:rPr>
        <w:t xml:space="preserve"> I</w:t>
      </w:r>
      <w:r w:rsidR="00C342DE" w:rsidRPr="00CA1232">
        <w:rPr>
          <w:sz w:val="24"/>
          <w:szCs w:val="24"/>
        </w:rPr>
        <w:t xml:space="preserve">t is intended for those who are already familiar with air dispersion modeling and </w:t>
      </w:r>
      <w:r w:rsidRPr="00CA1232">
        <w:rPr>
          <w:sz w:val="24"/>
          <w:szCs w:val="24"/>
        </w:rPr>
        <w:t xml:space="preserve">provides a general overview of </w:t>
      </w:r>
      <w:r w:rsidR="002827FA">
        <w:rPr>
          <w:sz w:val="24"/>
          <w:szCs w:val="24"/>
        </w:rPr>
        <w:t xml:space="preserve">what is needed for </w:t>
      </w:r>
      <w:r w:rsidR="000316A6" w:rsidRPr="002827FA">
        <w:rPr>
          <w:sz w:val="24"/>
          <w:szCs w:val="24"/>
        </w:rPr>
        <w:t>a</w:t>
      </w:r>
      <w:r w:rsidR="00F0059A" w:rsidRPr="002827FA">
        <w:rPr>
          <w:sz w:val="24"/>
          <w:szCs w:val="24"/>
        </w:rPr>
        <w:t xml:space="preserve"> </w:t>
      </w:r>
      <w:r w:rsidR="00BB4347" w:rsidRPr="002827FA">
        <w:rPr>
          <w:sz w:val="24"/>
          <w:szCs w:val="24"/>
        </w:rPr>
        <w:t>National Ambient Air Quality Standards (</w:t>
      </w:r>
      <w:r w:rsidR="00F0059A" w:rsidRPr="002827FA">
        <w:rPr>
          <w:sz w:val="24"/>
          <w:szCs w:val="24"/>
        </w:rPr>
        <w:t>NAAQS</w:t>
      </w:r>
      <w:r w:rsidR="00BB4347" w:rsidRPr="002827FA">
        <w:rPr>
          <w:sz w:val="24"/>
          <w:szCs w:val="24"/>
        </w:rPr>
        <w:t>)</w:t>
      </w:r>
      <w:r w:rsidR="00F0059A" w:rsidRPr="002827FA">
        <w:rPr>
          <w:sz w:val="24"/>
          <w:szCs w:val="24"/>
        </w:rPr>
        <w:t xml:space="preserve"> and PSD increment compliance demonstration</w:t>
      </w:r>
      <w:r w:rsidR="004169DB" w:rsidRPr="002827FA">
        <w:rPr>
          <w:sz w:val="24"/>
          <w:szCs w:val="24"/>
        </w:rPr>
        <w:t xml:space="preserve"> in the State of Nebraska</w:t>
      </w:r>
      <w:r w:rsidR="00373383" w:rsidRPr="002827FA">
        <w:rPr>
          <w:sz w:val="24"/>
          <w:szCs w:val="24"/>
        </w:rPr>
        <w:t>.</w:t>
      </w:r>
      <w:r w:rsidR="000A5970" w:rsidRPr="002827FA">
        <w:rPr>
          <w:sz w:val="24"/>
          <w:szCs w:val="24"/>
        </w:rPr>
        <w:t xml:space="preserve"> </w:t>
      </w:r>
      <w:r w:rsidR="0038038D" w:rsidRPr="002827FA">
        <w:rPr>
          <w:sz w:val="24"/>
          <w:szCs w:val="24"/>
        </w:rPr>
        <w:t xml:space="preserve"> </w:t>
      </w:r>
      <w:r w:rsidR="0038038D" w:rsidRPr="00CA1232">
        <w:rPr>
          <w:sz w:val="24"/>
          <w:szCs w:val="24"/>
        </w:rPr>
        <w:t>Please contact a qualified modeling professional if you need assistance preparing your modeling analysis.</w:t>
      </w:r>
    </w:p>
    <w:p w14:paraId="55B9181F" w14:textId="77777777" w:rsidR="0066670E" w:rsidRPr="00CA1232" w:rsidRDefault="0066670E" w:rsidP="00182AC5">
      <w:pPr>
        <w:rPr>
          <w:sz w:val="24"/>
          <w:szCs w:val="24"/>
        </w:rPr>
      </w:pPr>
    </w:p>
    <w:p w14:paraId="38DF41E4" w14:textId="77777777" w:rsidR="0066670E" w:rsidRPr="00CA1232" w:rsidRDefault="004169DB" w:rsidP="00182AC5">
      <w:pPr>
        <w:rPr>
          <w:sz w:val="24"/>
          <w:szCs w:val="24"/>
        </w:rPr>
      </w:pPr>
      <w:r w:rsidRPr="00CA1232">
        <w:rPr>
          <w:sz w:val="24"/>
          <w:szCs w:val="24"/>
        </w:rPr>
        <w:t>T</w:t>
      </w:r>
      <w:r w:rsidR="0066670E" w:rsidRPr="00CA1232">
        <w:rPr>
          <w:sz w:val="24"/>
          <w:szCs w:val="24"/>
        </w:rPr>
        <w:t>he primary difference</w:t>
      </w:r>
      <w:r w:rsidRPr="00CA1232">
        <w:rPr>
          <w:sz w:val="24"/>
          <w:szCs w:val="24"/>
        </w:rPr>
        <w:t>s</w:t>
      </w:r>
      <w:r w:rsidR="0066670E" w:rsidRPr="00CA1232">
        <w:rPr>
          <w:sz w:val="24"/>
          <w:szCs w:val="24"/>
        </w:rPr>
        <w:t xml:space="preserve"> between</w:t>
      </w:r>
      <w:r w:rsidR="003A6168" w:rsidRPr="00CA1232">
        <w:rPr>
          <w:sz w:val="24"/>
          <w:szCs w:val="24"/>
        </w:rPr>
        <w:t xml:space="preserve"> a modeling analysis for</w:t>
      </w:r>
      <w:r w:rsidR="0066670E" w:rsidRPr="00CA1232">
        <w:rPr>
          <w:sz w:val="24"/>
          <w:szCs w:val="24"/>
        </w:rPr>
        <w:t xml:space="preserve"> </w:t>
      </w:r>
      <w:r w:rsidR="003A6168" w:rsidRPr="00CA1232">
        <w:rPr>
          <w:sz w:val="24"/>
          <w:szCs w:val="24"/>
        </w:rPr>
        <w:t xml:space="preserve">a </w:t>
      </w:r>
      <w:r w:rsidRPr="00CA1232">
        <w:rPr>
          <w:sz w:val="24"/>
          <w:szCs w:val="24"/>
        </w:rPr>
        <w:t xml:space="preserve">minor source and </w:t>
      </w:r>
      <w:r w:rsidR="003A6168" w:rsidRPr="00CA1232">
        <w:rPr>
          <w:sz w:val="24"/>
          <w:szCs w:val="24"/>
        </w:rPr>
        <w:t xml:space="preserve">one for a </w:t>
      </w:r>
      <w:r w:rsidR="0066670E" w:rsidRPr="00CA1232">
        <w:rPr>
          <w:sz w:val="24"/>
          <w:szCs w:val="24"/>
        </w:rPr>
        <w:t>PSD</w:t>
      </w:r>
      <w:r w:rsidR="00607773" w:rsidRPr="00CA1232">
        <w:rPr>
          <w:sz w:val="24"/>
          <w:szCs w:val="24"/>
        </w:rPr>
        <w:t xml:space="preserve"> major source are</w:t>
      </w:r>
      <w:r w:rsidR="0066670E" w:rsidRPr="00CA1232">
        <w:rPr>
          <w:sz w:val="24"/>
          <w:szCs w:val="24"/>
        </w:rPr>
        <w:t>:</w:t>
      </w:r>
    </w:p>
    <w:p w14:paraId="67EF9F7E" w14:textId="77777777" w:rsidR="00607773" w:rsidRPr="002827FA" w:rsidRDefault="00607773" w:rsidP="00607773">
      <w:pPr>
        <w:numPr>
          <w:ilvl w:val="0"/>
          <w:numId w:val="15"/>
        </w:numPr>
        <w:rPr>
          <w:sz w:val="24"/>
          <w:szCs w:val="24"/>
        </w:rPr>
      </w:pPr>
      <w:r w:rsidRPr="00CA1232">
        <w:rPr>
          <w:sz w:val="24"/>
          <w:szCs w:val="24"/>
        </w:rPr>
        <w:t>Minor source analysis requires only a NAAQS analysis and</w:t>
      </w:r>
      <w:r w:rsidR="002827FA">
        <w:rPr>
          <w:sz w:val="24"/>
          <w:szCs w:val="24"/>
        </w:rPr>
        <w:t xml:space="preserve"> does not include</w:t>
      </w:r>
      <w:r w:rsidRPr="00CA1232">
        <w:rPr>
          <w:sz w:val="24"/>
          <w:szCs w:val="24"/>
        </w:rPr>
        <w:t xml:space="preserve"> </w:t>
      </w:r>
      <w:r w:rsidRPr="002827FA">
        <w:rPr>
          <w:sz w:val="24"/>
          <w:szCs w:val="24"/>
        </w:rPr>
        <w:t>fugitive emissions from haul roads.</w:t>
      </w:r>
    </w:p>
    <w:p w14:paraId="6EC6928A" w14:textId="77777777" w:rsidR="00607773" w:rsidRPr="00CA1232" w:rsidRDefault="0066670E" w:rsidP="00607773">
      <w:pPr>
        <w:numPr>
          <w:ilvl w:val="0"/>
          <w:numId w:val="15"/>
        </w:numPr>
        <w:autoSpaceDE w:val="0"/>
        <w:autoSpaceDN w:val="0"/>
        <w:adjustRightInd w:val="0"/>
        <w:rPr>
          <w:sz w:val="24"/>
          <w:szCs w:val="24"/>
        </w:rPr>
      </w:pPr>
      <w:r w:rsidRPr="00CA1232">
        <w:rPr>
          <w:sz w:val="24"/>
          <w:szCs w:val="24"/>
        </w:rPr>
        <w:t xml:space="preserve">PSD modeling analysis </w:t>
      </w:r>
      <w:r w:rsidR="003A6168" w:rsidRPr="00CA1232">
        <w:rPr>
          <w:sz w:val="24"/>
          <w:szCs w:val="24"/>
        </w:rPr>
        <w:t xml:space="preserve">not only requires </w:t>
      </w:r>
      <w:r w:rsidR="00C21192" w:rsidRPr="00CA1232">
        <w:rPr>
          <w:sz w:val="24"/>
          <w:szCs w:val="24"/>
        </w:rPr>
        <w:t xml:space="preserve">a </w:t>
      </w:r>
      <w:r w:rsidRPr="00CA1232">
        <w:rPr>
          <w:sz w:val="24"/>
          <w:szCs w:val="24"/>
        </w:rPr>
        <w:t>NAAQS</w:t>
      </w:r>
      <w:r w:rsidR="00A13BBF" w:rsidRPr="00CA1232">
        <w:rPr>
          <w:sz w:val="24"/>
          <w:szCs w:val="24"/>
        </w:rPr>
        <w:t xml:space="preserve"> analysis </w:t>
      </w:r>
      <w:r w:rsidR="003A6168" w:rsidRPr="00CA1232">
        <w:rPr>
          <w:sz w:val="24"/>
          <w:szCs w:val="24"/>
        </w:rPr>
        <w:t>but also includes</w:t>
      </w:r>
      <w:r w:rsidR="00D9295E" w:rsidRPr="00CA1232">
        <w:rPr>
          <w:sz w:val="24"/>
          <w:szCs w:val="24"/>
        </w:rPr>
        <w:t>:</w:t>
      </w:r>
    </w:p>
    <w:p w14:paraId="52F0BC4E" w14:textId="77777777" w:rsidR="00607773" w:rsidRPr="00CA1232" w:rsidRDefault="00607773" w:rsidP="00607773">
      <w:pPr>
        <w:numPr>
          <w:ilvl w:val="1"/>
          <w:numId w:val="15"/>
        </w:numPr>
        <w:autoSpaceDE w:val="0"/>
        <w:autoSpaceDN w:val="0"/>
        <w:adjustRightInd w:val="0"/>
        <w:rPr>
          <w:sz w:val="24"/>
          <w:szCs w:val="24"/>
        </w:rPr>
      </w:pPr>
      <w:r w:rsidRPr="00CA1232">
        <w:rPr>
          <w:sz w:val="24"/>
          <w:szCs w:val="24"/>
        </w:rPr>
        <w:t xml:space="preserve">PSD </w:t>
      </w:r>
      <w:r w:rsidR="00C21192" w:rsidRPr="00CA1232">
        <w:rPr>
          <w:sz w:val="24"/>
          <w:szCs w:val="24"/>
        </w:rPr>
        <w:t xml:space="preserve">increment </w:t>
      </w:r>
      <w:r w:rsidR="00A13BBF" w:rsidRPr="00CA1232">
        <w:rPr>
          <w:sz w:val="24"/>
          <w:szCs w:val="24"/>
        </w:rPr>
        <w:t>analysis,</w:t>
      </w:r>
    </w:p>
    <w:p w14:paraId="7874E60E" w14:textId="77777777" w:rsidR="00607773" w:rsidRPr="00CA1232" w:rsidRDefault="00A13BBF" w:rsidP="00607773">
      <w:pPr>
        <w:numPr>
          <w:ilvl w:val="1"/>
          <w:numId w:val="15"/>
        </w:numPr>
        <w:autoSpaceDE w:val="0"/>
        <w:autoSpaceDN w:val="0"/>
        <w:adjustRightInd w:val="0"/>
        <w:rPr>
          <w:sz w:val="24"/>
          <w:szCs w:val="24"/>
        </w:rPr>
      </w:pPr>
      <w:r w:rsidRPr="00CA1232">
        <w:rPr>
          <w:sz w:val="24"/>
          <w:szCs w:val="24"/>
        </w:rPr>
        <w:t>visibility analysis,</w:t>
      </w:r>
    </w:p>
    <w:p w14:paraId="37AAB29A" w14:textId="77777777" w:rsidR="00607773" w:rsidRPr="00CA1232" w:rsidRDefault="0039036E" w:rsidP="00607773">
      <w:pPr>
        <w:numPr>
          <w:ilvl w:val="1"/>
          <w:numId w:val="15"/>
        </w:numPr>
        <w:autoSpaceDE w:val="0"/>
        <w:autoSpaceDN w:val="0"/>
        <w:adjustRightInd w:val="0"/>
        <w:rPr>
          <w:sz w:val="24"/>
          <w:szCs w:val="24"/>
        </w:rPr>
      </w:pPr>
      <w:r w:rsidRPr="00CA1232">
        <w:rPr>
          <w:sz w:val="24"/>
          <w:szCs w:val="24"/>
        </w:rPr>
        <w:t>population</w:t>
      </w:r>
      <w:r w:rsidR="006E3241" w:rsidRPr="00CA1232">
        <w:rPr>
          <w:sz w:val="24"/>
          <w:szCs w:val="24"/>
        </w:rPr>
        <w:t xml:space="preserve"> </w:t>
      </w:r>
      <w:r w:rsidR="003C3872" w:rsidRPr="00CA1232">
        <w:rPr>
          <w:sz w:val="24"/>
          <w:szCs w:val="24"/>
        </w:rPr>
        <w:t>growth,</w:t>
      </w:r>
    </w:p>
    <w:p w14:paraId="2A92A02E" w14:textId="77777777" w:rsidR="00607773" w:rsidRPr="00CA1232" w:rsidRDefault="00A13BBF" w:rsidP="00607773">
      <w:pPr>
        <w:numPr>
          <w:ilvl w:val="1"/>
          <w:numId w:val="15"/>
        </w:numPr>
        <w:autoSpaceDE w:val="0"/>
        <w:autoSpaceDN w:val="0"/>
        <w:adjustRightInd w:val="0"/>
        <w:rPr>
          <w:sz w:val="24"/>
          <w:szCs w:val="24"/>
        </w:rPr>
      </w:pPr>
      <w:r w:rsidRPr="00CA1232">
        <w:rPr>
          <w:sz w:val="24"/>
          <w:szCs w:val="24"/>
        </w:rPr>
        <w:t xml:space="preserve">impacts on </w:t>
      </w:r>
      <w:r w:rsidR="006E3241" w:rsidRPr="00CA1232">
        <w:rPr>
          <w:sz w:val="24"/>
          <w:szCs w:val="24"/>
        </w:rPr>
        <w:t xml:space="preserve">soils </w:t>
      </w:r>
      <w:r w:rsidRPr="00CA1232">
        <w:rPr>
          <w:sz w:val="24"/>
          <w:szCs w:val="24"/>
        </w:rPr>
        <w:t>&amp;</w:t>
      </w:r>
      <w:r w:rsidR="006E3241" w:rsidRPr="00CA1232">
        <w:rPr>
          <w:sz w:val="24"/>
          <w:szCs w:val="24"/>
        </w:rPr>
        <w:t xml:space="preserve"> vegetation,</w:t>
      </w:r>
    </w:p>
    <w:p w14:paraId="5617BD35" w14:textId="77777777" w:rsidR="00607773" w:rsidRPr="00CA1232" w:rsidRDefault="00EC32CC" w:rsidP="00607773">
      <w:pPr>
        <w:numPr>
          <w:ilvl w:val="1"/>
          <w:numId w:val="15"/>
        </w:numPr>
        <w:autoSpaceDE w:val="0"/>
        <w:autoSpaceDN w:val="0"/>
        <w:adjustRightInd w:val="0"/>
        <w:rPr>
          <w:sz w:val="24"/>
          <w:szCs w:val="24"/>
        </w:rPr>
      </w:pPr>
      <w:r w:rsidRPr="00CA1232">
        <w:rPr>
          <w:sz w:val="24"/>
          <w:szCs w:val="24"/>
        </w:rPr>
        <w:t xml:space="preserve">includes </w:t>
      </w:r>
      <w:r w:rsidR="0078556F" w:rsidRPr="00CA1232">
        <w:rPr>
          <w:sz w:val="24"/>
          <w:szCs w:val="24"/>
        </w:rPr>
        <w:t>fugitive emissions from haul roads</w:t>
      </w:r>
      <w:r w:rsidR="00607773" w:rsidRPr="00CA1232">
        <w:rPr>
          <w:sz w:val="24"/>
          <w:szCs w:val="24"/>
        </w:rPr>
        <w:t xml:space="preserve">, </w:t>
      </w:r>
      <w:r w:rsidR="00697ACE" w:rsidRPr="00CA1232">
        <w:rPr>
          <w:sz w:val="24"/>
          <w:szCs w:val="24"/>
        </w:rPr>
        <w:t xml:space="preserve">as per 40CFR Part 50, App W, Section 4.2.3.6(c), </w:t>
      </w:r>
      <w:r w:rsidR="00607773" w:rsidRPr="00CA1232">
        <w:rPr>
          <w:sz w:val="24"/>
          <w:szCs w:val="24"/>
        </w:rPr>
        <w:t>and</w:t>
      </w:r>
    </w:p>
    <w:p w14:paraId="67C27271" w14:textId="77777777" w:rsidR="005345F3" w:rsidRPr="00CA1232" w:rsidRDefault="00607773" w:rsidP="00607773">
      <w:pPr>
        <w:numPr>
          <w:ilvl w:val="1"/>
          <w:numId w:val="15"/>
        </w:numPr>
        <w:autoSpaceDE w:val="0"/>
        <w:autoSpaceDN w:val="0"/>
        <w:adjustRightInd w:val="0"/>
        <w:rPr>
          <w:sz w:val="24"/>
          <w:szCs w:val="24"/>
        </w:rPr>
      </w:pPr>
      <w:r w:rsidRPr="00CA1232">
        <w:rPr>
          <w:sz w:val="24"/>
          <w:szCs w:val="24"/>
        </w:rPr>
        <w:t xml:space="preserve">impacts from </w:t>
      </w:r>
      <w:r w:rsidR="006B3800" w:rsidRPr="00CA1232">
        <w:rPr>
          <w:sz w:val="24"/>
          <w:szCs w:val="24"/>
        </w:rPr>
        <w:t>o</w:t>
      </w:r>
      <w:r w:rsidR="0017608A" w:rsidRPr="00CA1232">
        <w:rPr>
          <w:sz w:val="24"/>
          <w:szCs w:val="24"/>
        </w:rPr>
        <w:t>zone and secondary PM</w:t>
      </w:r>
      <w:r w:rsidR="0017608A" w:rsidRPr="00CA1232">
        <w:rPr>
          <w:sz w:val="24"/>
          <w:szCs w:val="24"/>
          <w:vertAlign w:val="subscript"/>
        </w:rPr>
        <w:t>2.5</w:t>
      </w:r>
      <w:r w:rsidR="006B3800" w:rsidRPr="00CA1232">
        <w:rPr>
          <w:sz w:val="24"/>
          <w:szCs w:val="24"/>
        </w:rPr>
        <w:t xml:space="preserve"> </w:t>
      </w:r>
      <w:r w:rsidRPr="00CA1232">
        <w:rPr>
          <w:sz w:val="24"/>
          <w:szCs w:val="24"/>
        </w:rPr>
        <w:t>as per 40 CFR 52.21(k)(1) &amp; 40 CFR 51.166(k)(1).</w:t>
      </w:r>
    </w:p>
    <w:p w14:paraId="29AD513D" w14:textId="77777777" w:rsidR="00D511FD" w:rsidRDefault="00D511FD" w:rsidP="00D511FD">
      <w:pPr>
        <w:pStyle w:val="Heading1"/>
        <w:spacing w:before="0"/>
      </w:pPr>
    </w:p>
    <w:p w14:paraId="7912521F" w14:textId="77777777" w:rsidR="005345F3" w:rsidRPr="00D511FD" w:rsidRDefault="005345F3" w:rsidP="00D511FD">
      <w:pPr>
        <w:pStyle w:val="Heading1"/>
        <w:spacing w:before="0"/>
      </w:pPr>
      <w:bookmarkStart w:id="2" w:name="_Toc489256235"/>
      <w:r w:rsidRPr="00D511FD">
        <w:t>When is Modeling Required?</w:t>
      </w:r>
      <w:bookmarkEnd w:id="2"/>
    </w:p>
    <w:p w14:paraId="4EE55B9C" w14:textId="77777777" w:rsidR="00FF3E23" w:rsidRDefault="005345F3" w:rsidP="005345F3">
      <w:pPr>
        <w:rPr>
          <w:sz w:val="24"/>
          <w:szCs w:val="24"/>
        </w:rPr>
      </w:pPr>
      <w:r w:rsidRPr="00CA1232">
        <w:rPr>
          <w:sz w:val="24"/>
          <w:szCs w:val="24"/>
        </w:rPr>
        <w:t xml:space="preserve">Air dispersion modeling is required when the significant net emissions increase equals or exceeds the Significant Emission Rate (SER) </w:t>
      </w:r>
      <w:r w:rsidRPr="00D6528B">
        <w:rPr>
          <w:sz w:val="24"/>
          <w:szCs w:val="24"/>
        </w:rPr>
        <w:t xml:space="preserve">listed in Table </w:t>
      </w:r>
      <w:r w:rsidR="001F766A">
        <w:rPr>
          <w:sz w:val="24"/>
          <w:szCs w:val="24"/>
        </w:rPr>
        <w:t>1</w:t>
      </w:r>
      <w:r w:rsidRPr="00D6528B">
        <w:rPr>
          <w:sz w:val="24"/>
          <w:szCs w:val="24"/>
        </w:rPr>
        <w:t xml:space="preserve"> below.  </w:t>
      </w:r>
      <w:r w:rsidR="004941E7" w:rsidRPr="00D6528B">
        <w:rPr>
          <w:sz w:val="24"/>
          <w:szCs w:val="24"/>
        </w:rPr>
        <w:t xml:space="preserve">See </w:t>
      </w:r>
      <w:r w:rsidR="00C7157E" w:rsidRPr="00D6528B">
        <w:rPr>
          <w:sz w:val="24"/>
          <w:szCs w:val="24"/>
        </w:rPr>
        <w:t>the Code of Federal Regulations</w:t>
      </w:r>
      <w:r w:rsidR="00C7157E" w:rsidRPr="00D6528B" w:rsidDel="00C7157E">
        <w:rPr>
          <w:sz w:val="24"/>
          <w:szCs w:val="24"/>
        </w:rPr>
        <w:t xml:space="preserve"> </w:t>
      </w:r>
      <w:r w:rsidR="00C7157E" w:rsidRPr="00D6528B">
        <w:rPr>
          <w:sz w:val="24"/>
          <w:szCs w:val="24"/>
        </w:rPr>
        <w:t xml:space="preserve">(40CFR 52.21(b)(3)) and Nebraska Administrative Code Title 129 – Nebraska Air Quality Regulations (Title 129, Chapter 19, Section </w:t>
      </w:r>
      <w:r w:rsidR="00C7157E" w:rsidRPr="00D6528B">
        <w:rPr>
          <w:sz w:val="24"/>
          <w:szCs w:val="24"/>
          <w:u w:val="single"/>
        </w:rPr>
        <w:t>010</w:t>
      </w:r>
      <w:r w:rsidR="00C7157E" w:rsidRPr="00D6528B">
        <w:rPr>
          <w:sz w:val="24"/>
          <w:szCs w:val="24"/>
        </w:rPr>
        <w:t xml:space="preserve">) for the definition of “significant net emissions increase” and for a complete </w:t>
      </w:r>
      <w:r w:rsidR="00EE0CBC" w:rsidRPr="00D6528B">
        <w:rPr>
          <w:sz w:val="24"/>
          <w:szCs w:val="24"/>
        </w:rPr>
        <w:t xml:space="preserve">SER </w:t>
      </w:r>
      <w:r w:rsidR="00C7157E" w:rsidRPr="00D6528B">
        <w:rPr>
          <w:sz w:val="24"/>
          <w:szCs w:val="24"/>
        </w:rPr>
        <w:t xml:space="preserve">list.  </w:t>
      </w:r>
      <w:r w:rsidR="00EE0CBC" w:rsidRPr="00D640D4">
        <w:rPr>
          <w:sz w:val="24"/>
          <w:szCs w:val="24"/>
        </w:rPr>
        <w:t>N</w:t>
      </w:r>
      <w:r w:rsidRPr="00D6528B">
        <w:rPr>
          <w:sz w:val="24"/>
          <w:szCs w:val="24"/>
        </w:rPr>
        <w:t xml:space="preserve">et emissions increase is defined </w:t>
      </w:r>
      <w:r w:rsidR="00C55313">
        <w:rPr>
          <w:sz w:val="24"/>
          <w:szCs w:val="24"/>
        </w:rPr>
        <w:t xml:space="preserve">in Title 129, Chapter 1 and in general </w:t>
      </w:r>
      <w:r w:rsidR="005C6554">
        <w:rPr>
          <w:sz w:val="24"/>
          <w:szCs w:val="24"/>
        </w:rPr>
        <w:t xml:space="preserve">it </w:t>
      </w:r>
      <w:r w:rsidR="00C55313">
        <w:rPr>
          <w:sz w:val="24"/>
          <w:szCs w:val="24"/>
        </w:rPr>
        <w:t>is</w:t>
      </w:r>
      <w:r w:rsidRPr="00D6528B">
        <w:rPr>
          <w:sz w:val="24"/>
          <w:szCs w:val="24"/>
        </w:rPr>
        <w:t xml:space="preserve"> an increase or decrease in emissions from a particular modification plus any other increases and decreases in actual emissions at the facility that are creditable and contemporaneous with the modification.</w:t>
      </w:r>
    </w:p>
    <w:p w14:paraId="4FF83C53" w14:textId="77777777" w:rsidR="005345F3" w:rsidRPr="00D6528B" w:rsidRDefault="005345F3" w:rsidP="005345F3">
      <w:pPr>
        <w:rPr>
          <w:sz w:val="24"/>
          <w:szCs w:val="24"/>
        </w:rPr>
      </w:pPr>
    </w:p>
    <w:p w14:paraId="012F0F07" w14:textId="77777777" w:rsidR="005345F3" w:rsidRPr="00D6528B" w:rsidRDefault="00FF3E23" w:rsidP="00D6528B">
      <w:pPr>
        <w:jc w:val="center"/>
        <w:rPr>
          <w:b/>
          <w:sz w:val="24"/>
          <w:szCs w:val="24"/>
        </w:rPr>
      </w:pPr>
      <w:r w:rsidRPr="00D6528B">
        <w:rPr>
          <w:b/>
          <w:sz w:val="24"/>
          <w:szCs w:val="24"/>
        </w:rPr>
        <w:t xml:space="preserve">Table 1 – Significant Emission </w:t>
      </w:r>
      <w:r w:rsidR="003C3E22">
        <w:rPr>
          <w:b/>
          <w:sz w:val="24"/>
          <w:szCs w:val="24"/>
        </w:rPr>
        <w:t>Rate</w:t>
      </w:r>
      <w:r w:rsidRPr="00D6528B">
        <w:rPr>
          <w:b/>
          <w:sz w:val="24"/>
          <w:szCs w:val="24"/>
        </w:rPr>
        <w:t xml:space="preserve"> (SER)</w:t>
      </w:r>
    </w:p>
    <w:tbl>
      <w:tblPr>
        <w:tblStyle w:val="TableGrid"/>
        <w:tblW w:w="6023" w:type="dxa"/>
        <w:jc w:val="center"/>
        <w:tblLook w:val="04A0" w:firstRow="1" w:lastRow="0" w:firstColumn="1" w:lastColumn="0" w:noHBand="0" w:noVBand="1"/>
      </w:tblPr>
      <w:tblGrid>
        <w:gridCol w:w="3473"/>
        <w:gridCol w:w="2550"/>
      </w:tblGrid>
      <w:tr w:rsidR="00BA7EDD" w:rsidRPr="00623ABC" w14:paraId="7AE80233" w14:textId="77777777" w:rsidTr="00D6528B">
        <w:trPr>
          <w:cantSplit/>
          <w:tblHeader/>
          <w:jc w:val="center"/>
        </w:trPr>
        <w:tc>
          <w:tcPr>
            <w:tcW w:w="3473" w:type="dxa"/>
            <w:tcBorders>
              <w:top w:val="single" w:sz="4" w:space="0" w:color="auto"/>
              <w:left w:val="single" w:sz="4" w:space="0" w:color="auto"/>
              <w:bottom w:val="single" w:sz="12" w:space="0" w:color="auto"/>
            </w:tcBorders>
            <w:vAlign w:val="center"/>
          </w:tcPr>
          <w:p w14:paraId="05602EFA" w14:textId="77777777" w:rsidR="00BA7EDD" w:rsidRPr="00D6528B" w:rsidRDefault="00BA7EDD" w:rsidP="005345F3">
            <w:pPr>
              <w:jc w:val="center"/>
              <w:rPr>
                <w:b/>
                <w:sz w:val="24"/>
                <w:szCs w:val="24"/>
              </w:rPr>
            </w:pPr>
            <w:r w:rsidRPr="00D6528B">
              <w:rPr>
                <w:b/>
                <w:sz w:val="24"/>
                <w:szCs w:val="24"/>
              </w:rPr>
              <w:t>Pollutant</w:t>
            </w:r>
          </w:p>
        </w:tc>
        <w:tc>
          <w:tcPr>
            <w:tcW w:w="2550" w:type="dxa"/>
            <w:tcBorders>
              <w:top w:val="single" w:sz="4" w:space="0" w:color="auto"/>
              <w:bottom w:val="single" w:sz="12" w:space="0" w:color="auto"/>
              <w:right w:val="single" w:sz="4" w:space="0" w:color="auto"/>
            </w:tcBorders>
            <w:vAlign w:val="center"/>
          </w:tcPr>
          <w:p w14:paraId="55F6DF79" w14:textId="77777777" w:rsidR="00BA7EDD" w:rsidRPr="00D6528B" w:rsidRDefault="00BA7EDD" w:rsidP="005345F3">
            <w:pPr>
              <w:jc w:val="center"/>
              <w:rPr>
                <w:b/>
                <w:sz w:val="24"/>
                <w:szCs w:val="24"/>
              </w:rPr>
            </w:pPr>
            <w:r w:rsidRPr="00D6528B">
              <w:rPr>
                <w:b/>
                <w:sz w:val="24"/>
                <w:szCs w:val="24"/>
              </w:rPr>
              <w:t>SER (tpy)</w:t>
            </w:r>
          </w:p>
        </w:tc>
      </w:tr>
      <w:tr w:rsidR="00BA7EDD" w:rsidRPr="00623ABC" w14:paraId="1E3A12E4" w14:textId="77777777" w:rsidTr="00D6528B">
        <w:trPr>
          <w:cantSplit/>
          <w:trHeight w:val="249"/>
          <w:jc w:val="center"/>
        </w:trPr>
        <w:tc>
          <w:tcPr>
            <w:tcW w:w="3473" w:type="dxa"/>
            <w:tcBorders>
              <w:top w:val="single" w:sz="12" w:space="0" w:color="auto"/>
              <w:left w:val="single" w:sz="4" w:space="0" w:color="auto"/>
            </w:tcBorders>
            <w:vAlign w:val="center"/>
          </w:tcPr>
          <w:p w14:paraId="31A945EE" w14:textId="77777777" w:rsidR="00BA7EDD" w:rsidRPr="00D6528B" w:rsidRDefault="00BA7EDD" w:rsidP="005345F3">
            <w:pPr>
              <w:jc w:val="center"/>
              <w:rPr>
                <w:sz w:val="24"/>
                <w:szCs w:val="24"/>
              </w:rPr>
            </w:pPr>
            <w:r w:rsidRPr="00D6528B">
              <w:rPr>
                <w:sz w:val="24"/>
                <w:szCs w:val="24"/>
              </w:rPr>
              <w:t>CO</w:t>
            </w:r>
          </w:p>
        </w:tc>
        <w:tc>
          <w:tcPr>
            <w:tcW w:w="2550" w:type="dxa"/>
            <w:tcBorders>
              <w:top w:val="single" w:sz="12" w:space="0" w:color="auto"/>
              <w:right w:val="single" w:sz="4" w:space="0" w:color="auto"/>
            </w:tcBorders>
            <w:vAlign w:val="center"/>
          </w:tcPr>
          <w:p w14:paraId="45EC886A" w14:textId="77777777" w:rsidR="00BA7EDD" w:rsidRPr="00D6528B" w:rsidRDefault="00BA7EDD" w:rsidP="005345F3">
            <w:pPr>
              <w:jc w:val="center"/>
              <w:rPr>
                <w:sz w:val="24"/>
                <w:szCs w:val="24"/>
              </w:rPr>
            </w:pPr>
            <w:r w:rsidRPr="00D6528B">
              <w:rPr>
                <w:sz w:val="24"/>
                <w:szCs w:val="24"/>
              </w:rPr>
              <w:t>100</w:t>
            </w:r>
          </w:p>
        </w:tc>
      </w:tr>
      <w:tr w:rsidR="00BA7EDD" w:rsidRPr="00623ABC" w14:paraId="7A9B7A17" w14:textId="77777777" w:rsidTr="00D6528B">
        <w:trPr>
          <w:cantSplit/>
          <w:jc w:val="center"/>
        </w:trPr>
        <w:tc>
          <w:tcPr>
            <w:tcW w:w="3473" w:type="dxa"/>
            <w:tcBorders>
              <w:left w:val="single" w:sz="4" w:space="0" w:color="auto"/>
            </w:tcBorders>
            <w:vAlign w:val="center"/>
          </w:tcPr>
          <w:p w14:paraId="34F37A23" w14:textId="77777777" w:rsidR="00BA7EDD" w:rsidRPr="00D6528B" w:rsidRDefault="00BA7EDD" w:rsidP="005345F3">
            <w:pPr>
              <w:jc w:val="center"/>
              <w:rPr>
                <w:sz w:val="24"/>
                <w:szCs w:val="24"/>
              </w:rPr>
            </w:pPr>
            <w:r w:rsidRPr="00D6528B">
              <w:rPr>
                <w:sz w:val="24"/>
                <w:szCs w:val="24"/>
              </w:rPr>
              <w:t>NO</w:t>
            </w:r>
            <w:r w:rsidRPr="00D6528B">
              <w:rPr>
                <w:sz w:val="24"/>
                <w:szCs w:val="24"/>
                <w:vertAlign w:val="subscript"/>
              </w:rPr>
              <w:t>2</w:t>
            </w:r>
          </w:p>
        </w:tc>
        <w:tc>
          <w:tcPr>
            <w:tcW w:w="2550" w:type="dxa"/>
            <w:tcBorders>
              <w:right w:val="single" w:sz="4" w:space="0" w:color="auto"/>
            </w:tcBorders>
            <w:vAlign w:val="center"/>
          </w:tcPr>
          <w:p w14:paraId="7BA16B3A" w14:textId="77777777" w:rsidR="00BA7EDD" w:rsidRPr="00D6528B" w:rsidRDefault="00BA7EDD" w:rsidP="005345F3">
            <w:pPr>
              <w:jc w:val="center"/>
              <w:rPr>
                <w:sz w:val="24"/>
                <w:szCs w:val="24"/>
              </w:rPr>
            </w:pPr>
            <w:r w:rsidRPr="00D6528B">
              <w:rPr>
                <w:sz w:val="24"/>
                <w:szCs w:val="24"/>
              </w:rPr>
              <w:t>40</w:t>
            </w:r>
          </w:p>
        </w:tc>
      </w:tr>
      <w:tr w:rsidR="00BA7EDD" w:rsidRPr="00623ABC" w14:paraId="13AC4AB6" w14:textId="77777777" w:rsidTr="00D6528B">
        <w:trPr>
          <w:cantSplit/>
          <w:jc w:val="center"/>
        </w:trPr>
        <w:tc>
          <w:tcPr>
            <w:tcW w:w="3473" w:type="dxa"/>
            <w:tcBorders>
              <w:left w:val="single" w:sz="4" w:space="0" w:color="auto"/>
            </w:tcBorders>
            <w:vAlign w:val="center"/>
          </w:tcPr>
          <w:p w14:paraId="39A7C575" w14:textId="77777777" w:rsidR="00BA7EDD" w:rsidRPr="00D6528B" w:rsidRDefault="00BA7EDD" w:rsidP="005345F3">
            <w:pPr>
              <w:jc w:val="center"/>
              <w:rPr>
                <w:sz w:val="24"/>
                <w:szCs w:val="24"/>
              </w:rPr>
            </w:pPr>
            <w:r w:rsidRPr="00D6528B">
              <w:rPr>
                <w:sz w:val="24"/>
                <w:szCs w:val="24"/>
              </w:rPr>
              <w:t>SO</w:t>
            </w:r>
            <w:r w:rsidRPr="00D6528B">
              <w:rPr>
                <w:sz w:val="24"/>
                <w:szCs w:val="24"/>
                <w:vertAlign w:val="subscript"/>
              </w:rPr>
              <w:t>2</w:t>
            </w:r>
          </w:p>
        </w:tc>
        <w:tc>
          <w:tcPr>
            <w:tcW w:w="2550" w:type="dxa"/>
            <w:tcBorders>
              <w:right w:val="single" w:sz="4" w:space="0" w:color="auto"/>
            </w:tcBorders>
            <w:vAlign w:val="center"/>
          </w:tcPr>
          <w:p w14:paraId="744EF224" w14:textId="77777777" w:rsidR="00BA7EDD" w:rsidRPr="00D6528B" w:rsidRDefault="00BA7EDD" w:rsidP="005345F3">
            <w:pPr>
              <w:jc w:val="center"/>
              <w:rPr>
                <w:sz w:val="24"/>
                <w:szCs w:val="24"/>
              </w:rPr>
            </w:pPr>
            <w:r w:rsidRPr="00D6528B">
              <w:rPr>
                <w:sz w:val="24"/>
                <w:szCs w:val="24"/>
              </w:rPr>
              <w:t>40</w:t>
            </w:r>
          </w:p>
        </w:tc>
      </w:tr>
      <w:tr w:rsidR="00BA7EDD" w:rsidRPr="00623ABC" w14:paraId="2230BF6C" w14:textId="77777777" w:rsidTr="00D6528B">
        <w:trPr>
          <w:cantSplit/>
          <w:jc w:val="center"/>
        </w:trPr>
        <w:tc>
          <w:tcPr>
            <w:tcW w:w="3473" w:type="dxa"/>
            <w:tcBorders>
              <w:left w:val="single" w:sz="4" w:space="0" w:color="auto"/>
            </w:tcBorders>
            <w:vAlign w:val="center"/>
          </w:tcPr>
          <w:p w14:paraId="53BAF6DE" w14:textId="77777777" w:rsidR="00BA7EDD" w:rsidRPr="00D6528B" w:rsidRDefault="00BA7EDD" w:rsidP="005345F3">
            <w:pPr>
              <w:jc w:val="center"/>
              <w:rPr>
                <w:sz w:val="24"/>
                <w:szCs w:val="24"/>
              </w:rPr>
            </w:pPr>
            <w:r w:rsidRPr="00D6528B">
              <w:rPr>
                <w:sz w:val="24"/>
                <w:szCs w:val="24"/>
              </w:rPr>
              <w:t>PM</w:t>
            </w:r>
            <w:r w:rsidRPr="00D6528B">
              <w:rPr>
                <w:sz w:val="24"/>
                <w:szCs w:val="24"/>
                <w:vertAlign w:val="subscript"/>
              </w:rPr>
              <w:t>10</w:t>
            </w:r>
          </w:p>
        </w:tc>
        <w:tc>
          <w:tcPr>
            <w:tcW w:w="2550" w:type="dxa"/>
            <w:tcBorders>
              <w:right w:val="single" w:sz="4" w:space="0" w:color="auto"/>
            </w:tcBorders>
            <w:vAlign w:val="center"/>
          </w:tcPr>
          <w:p w14:paraId="469D78D1" w14:textId="77777777" w:rsidR="00BA7EDD" w:rsidRPr="00D6528B" w:rsidRDefault="00BA7EDD" w:rsidP="005345F3">
            <w:pPr>
              <w:jc w:val="center"/>
              <w:rPr>
                <w:sz w:val="24"/>
                <w:szCs w:val="24"/>
              </w:rPr>
            </w:pPr>
            <w:r w:rsidRPr="00D6528B">
              <w:rPr>
                <w:sz w:val="24"/>
                <w:szCs w:val="24"/>
              </w:rPr>
              <w:t>15</w:t>
            </w:r>
          </w:p>
        </w:tc>
      </w:tr>
      <w:tr w:rsidR="00BA7EDD" w:rsidRPr="00623ABC" w14:paraId="655402AA" w14:textId="77777777" w:rsidTr="00D6528B">
        <w:trPr>
          <w:cantSplit/>
          <w:jc w:val="center"/>
        </w:trPr>
        <w:tc>
          <w:tcPr>
            <w:tcW w:w="3473" w:type="dxa"/>
            <w:tcBorders>
              <w:left w:val="single" w:sz="4" w:space="0" w:color="auto"/>
            </w:tcBorders>
            <w:vAlign w:val="center"/>
          </w:tcPr>
          <w:p w14:paraId="432C4F60" w14:textId="77777777" w:rsidR="00BA7EDD" w:rsidRPr="00D6528B" w:rsidRDefault="00BA7EDD" w:rsidP="005345F3">
            <w:pPr>
              <w:jc w:val="center"/>
              <w:rPr>
                <w:sz w:val="24"/>
                <w:szCs w:val="24"/>
              </w:rPr>
            </w:pPr>
            <w:r w:rsidRPr="00D6528B">
              <w:rPr>
                <w:sz w:val="24"/>
                <w:szCs w:val="24"/>
              </w:rPr>
              <w:t>PM</w:t>
            </w:r>
            <w:r w:rsidRPr="00D6528B">
              <w:rPr>
                <w:sz w:val="24"/>
                <w:szCs w:val="24"/>
                <w:vertAlign w:val="subscript"/>
              </w:rPr>
              <w:t>2.5</w:t>
            </w:r>
          </w:p>
        </w:tc>
        <w:tc>
          <w:tcPr>
            <w:tcW w:w="2550" w:type="dxa"/>
            <w:tcBorders>
              <w:right w:val="single" w:sz="4" w:space="0" w:color="auto"/>
            </w:tcBorders>
            <w:vAlign w:val="center"/>
          </w:tcPr>
          <w:p w14:paraId="15EDF81C" w14:textId="77777777" w:rsidR="00BA7EDD" w:rsidRPr="00D6528B" w:rsidRDefault="00BA7EDD" w:rsidP="005345F3">
            <w:pPr>
              <w:jc w:val="center"/>
              <w:rPr>
                <w:sz w:val="24"/>
                <w:szCs w:val="24"/>
              </w:rPr>
            </w:pPr>
            <w:r w:rsidRPr="00D6528B">
              <w:rPr>
                <w:sz w:val="24"/>
                <w:szCs w:val="24"/>
              </w:rPr>
              <w:t>10</w:t>
            </w:r>
          </w:p>
        </w:tc>
      </w:tr>
      <w:tr w:rsidR="00BA7EDD" w:rsidRPr="00623ABC" w14:paraId="23C5DD6E" w14:textId="77777777" w:rsidTr="00D6528B">
        <w:trPr>
          <w:cantSplit/>
          <w:jc w:val="center"/>
        </w:trPr>
        <w:tc>
          <w:tcPr>
            <w:tcW w:w="3473" w:type="dxa"/>
            <w:tcBorders>
              <w:left w:val="single" w:sz="4" w:space="0" w:color="auto"/>
            </w:tcBorders>
            <w:vAlign w:val="center"/>
          </w:tcPr>
          <w:p w14:paraId="62F7324F" w14:textId="77777777" w:rsidR="00BA7EDD" w:rsidRPr="00D6528B" w:rsidRDefault="00CB6DCE" w:rsidP="005345F3">
            <w:pPr>
              <w:jc w:val="center"/>
              <w:rPr>
                <w:sz w:val="24"/>
                <w:szCs w:val="24"/>
              </w:rPr>
            </w:pPr>
            <w:r>
              <w:rPr>
                <w:sz w:val="24"/>
                <w:szCs w:val="24"/>
              </w:rPr>
              <w:t>Lead (</w:t>
            </w:r>
            <w:r w:rsidR="00BA7EDD" w:rsidRPr="00D6528B">
              <w:rPr>
                <w:sz w:val="24"/>
                <w:szCs w:val="24"/>
              </w:rPr>
              <w:t>Pb</w:t>
            </w:r>
            <w:r>
              <w:rPr>
                <w:sz w:val="24"/>
                <w:szCs w:val="24"/>
              </w:rPr>
              <w:t>)</w:t>
            </w:r>
          </w:p>
        </w:tc>
        <w:tc>
          <w:tcPr>
            <w:tcW w:w="2550" w:type="dxa"/>
            <w:tcBorders>
              <w:right w:val="single" w:sz="4" w:space="0" w:color="auto"/>
            </w:tcBorders>
            <w:vAlign w:val="center"/>
          </w:tcPr>
          <w:p w14:paraId="4051F8E2" w14:textId="77777777" w:rsidR="00BA7EDD" w:rsidRPr="00D6528B" w:rsidRDefault="00BA7EDD" w:rsidP="005345F3">
            <w:pPr>
              <w:jc w:val="center"/>
              <w:rPr>
                <w:sz w:val="24"/>
                <w:szCs w:val="24"/>
              </w:rPr>
            </w:pPr>
            <w:r w:rsidRPr="00D6528B">
              <w:rPr>
                <w:sz w:val="24"/>
                <w:szCs w:val="24"/>
              </w:rPr>
              <w:t>0.6</w:t>
            </w:r>
          </w:p>
        </w:tc>
      </w:tr>
      <w:tr w:rsidR="00BA7EDD" w:rsidRPr="00623ABC" w14:paraId="233757BE" w14:textId="77777777" w:rsidTr="00D6528B">
        <w:trPr>
          <w:cantSplit/>
          <w:jc w:val="center"/>
        </w:trPr>
        <w:tc>
          <w:tcPr>
            <w:tcW w:w="3473" w:type="dxa"/>
            <w:tcBorders>
              <w:left w:val="single" w:sz="4" w:space="0" w:color="auto"/>
            </w:tcBorders>
            <w:vAlign w:val="center"/>
          </w:tcPr>
          <w:p w14:paraId="78CC8AF1" w14:textId="77777777" w:rsidR="00BA7EDD" w:rsidRPr="00D6528B" w:rsidRDefault="00BA7EDD" w:rsidP="005345F3">
            <w:pPr>
              <w:jc w:val="center"/>
              <w:rPr>
                <w:sz w:val="24"/>
                <w:szCs w:val="24"/>
              </w:rPr>
            </w:pPr>
            <w:r w:rsidRPr="00D6528B">
              <w:rPr>
                <w:sz w:val="24"/>
                <w:szCs w:val="24"/>
              </w:rPr>
              <w:t xml:space="preserve">Total Reduced Sulfur </w:t>
            </w:r>
          </w:p>
          <w:p w14:paraId="59FB326A" w14:textId="77777777" w:rsidR="00BA7EDD" w:rsidRPr="00D6528B" w:rsidRDefault="00BA7EDD" w:rsidP="005345F3">
            <w:pPr>
              <w:jc w:val="center"/>
              <w:rPr>
                <w:sz w:val="24"/>
                <w:szCs w:val="24"/>
              </w:rPr>
            </w:pPr>
            <w:r w:rsidRPr="00D6528B">
              <w:rPr>
                <w:sz w:val="24"/>
                <w:szCs w:val="24"/>
              </w:rPr>
              <w:t>(including H</w:t>
            </w:r>
            <w:r w:rsidRPr="00D6528B">
              <w:rPr>
                <w:sz w:val="24"/>
                <w:szCs w:val="24"/>
                <w:vertAlign w:val="subscript"/>
              </w:rPr>
              <w:t>2</w:t>
            </w:r>
            <w:r w:rsidRPr="00D6528B">
              <w:rPr>
                <w:sz w:val="24"/>
                <w:szCs w:val="24"/>
              </w:rPr>
              <w:t xml:space="preserve">S) </w:t>
            </w:r>
          </w:p>
        </w:tc>
        <w:tc>
          <w:tcPr>
            <w:tcW w:w="2550" w:type="dxa"/>
            <w:tcBorders>
              <w:right w:val="single" w:sz="4" w:space="0" w:color="auto"/>
            </w:tcBorders>
            <w:vAlign w:val="center"/>
          </w:tcPr>
          <w:p w14:paraId="14C9F7E2" w14:textId="77777777" w:rsidR="00BA7EDD" w:rsidRPr="00D6528B" w:rsidRDefault="00BA7EDD" w:rsidP="005345F3">
            <w:pPr>
              <w:jc w:val="center"/>
              <w:rPr>
                <w:sz w:val="24"/>
                <w:szCs w:val="24"/>
              </w:rPr>
            </w:pPr>
            <w:r w:rsidRPr="00D6528B">
              <w:rPr>
                <w:sz w:val="24"/>
                <w:szCs w:val="24"/>
              </w:rPr>
              <w:t>10</w:t>
            </w:r>
          </w:p>
        </w:tc>
      </w:tr>
    </w:tbl>
    <w:p w14:paraId="1D2DE82C" w14:textId="77777777" w:rsidR="005345F3" w:rsidRPr="00D6528B" w:rsidRDefault="00B13F93" w:rsidP="00D6528B">
      <w:pPr>
        <w:ind w:left="1440" w:firstLine="720"/>
        <w:rPr>
          <w:sz w:val="24"/>
          <w:szCs w:val="24"/>
        </w:rPr>
      </w:pPr>
      <w:r>
        <w:rPr>
          <w:sz w:val="24"/>
          <w:szCs w:val="24"/>
        </w:rPr>
        <w:t>Reference:</w:t>
      </w:r>
      <w:r w:rsidR="00BA7EDD">
        <w:rPr>
          <w:sz w:val="24"/>
          <w:szCs w:val="24"/>
        </w:rPr>
        <w:t xml:space="preserve">  </w:t>
      </w:r>
      <w:r w:rsidR="004941E7" w:rsidRPr="00D6528B">
        <w:rPr>
          <w:sz w:val="24"/>
          <w:szCs w:val="24"/>
        </w:rPr>
        <w:t xml:space="preserve">Title 129 Ch. 19, </w:t>
      </w:r>
      <w:r w:rsidR="004941E7" w:rsidRPr="00D6528B">
        <w:rPr>
          <w:sz w:val="24"/>
          <w:szCs w:val="24"/>
          <w:u w:val="single"/>
        </w:rPr>
        <w:t>010</w:t>
      </w:r>
      <w:r w:rsidR="004941E7" w:rsidRPr="00D6528B">
        <w:rPr>
          <w:sz w:val="24"/>
          <w:szCs w:val="24"/>
        </w:rPr>
        <w:t xml:space="preserve"> and 40 CFR 51.166 (23)(</w:t>
      </w:r>
      <w:proofErr w:type="spellStart"/>
      <w:r w:rsidR="004941E7" w:rsidRPr="00D6528B">
        <w:rPr>
          <w:sz w:val="24"/>
          <w:szCs w:val="24"/>
        </w:rPr>
        <w:t>i</w:t>
      </w:r>
      <w:proofErr w:type="spellEnd"/>
      <w:r w:rsidR="004941E7" w:rsidRPr="00D6528B">
        <w:rPr>
          <w:sz w:val="24"/>
          <w:szCs w:val="24"/>
        </w:rPr>
        <w:t>)</w:t>
      </w:r>
    </w:p>
    <w:p w14:paraId="053092CA" w14:textId="77777777" w:rsidR="00C55313" w:rsidRDefault="00C55313" w:rsidP="005345F3">
      <w:pPr>
        <w:rPr>
          <w:sz w:val="24"/>
          <w:szCs w:val="24"/>
        </w:rPr>
      </w:pPr>
    </w:p>
    <w:p w14:paraId="337C08B4" w14:textId="77777777" w:rsidR="005345F3" w:rsidRPr="00D6528B" w:rsidRDefault="005345F3" w:rsidP="005345F3">
      <w:pPr>
        <w:rPr>
          <w:sz w:val="24"/>
          <w:szCs w:val="24"/>
        </w:rPr>
      </w:pPr>
      <w:r w:rsidRPr="00D6528B">
        <w:rPr>
          <w:sz w:val="24"/>
          <w:szCs w:val="24"/>
        </w:rPr>
        <w:lastRenderedPageBreak/>
        <w:t>Additionally, the Department may require modeling if</w:t>
      </w:r>
      <w:r w:rsidR="00C55313">
        <w:rPr>
          <w:sz w:val="24"/>
          <w:szCs w:val="24"/>
        </w:rPr>
        <w:t>:</w:t>
      </w:r>
    </w:p>
    <w:p w14:paraId="3866B982" w14:textId="77777777" w:rsidR="005345F3" w:rsidRPr="00D6528B" w:rsidRDefault="005345F3" w:rsidP="005345F3">
      <w:pPr>
        <w:pStyle w:val="ListParagraph"/>
        <w:numPr>
          <w:ilvl w:val="0"/>
          <w:numId w:val="10"/>
        </w:numPr>
        <w:rPr>
          <w:sz w:val="24"/>
          <w:szCs w:val="24"/>
        </w:rPr>
      </w:pPr>
      <w:r w:rsidRPr="00D6528B">
        <w:rPr>
          <w:sz w:val="24"/>
          <w:szCs w:val="24"/>
        </w:rPr>
        <w:t>a major source undergoing a modification has not previously conducted a cumulative impact analysis based on facility-wide emissions,</w:t>
      </w:r>
    </w:p>
    <w:p w14:paraId="57E77B14" w14:textId="77777777" w:rsidR="005345F3" w:rsidRPr="00D6528B" w:rsidRDefault="005345F3" w:rsidP="005345F3">
      <w:pPr>
        <w:pStyle w:val="ListParagraph"/>
        <w:numPr>
          <w:ilvl w:val="0"/>
          <w:numId w:val="10"/>
        </w:numPr>
        <w:rPr>
          <w:sz w:val="24"/>
          <w:szCs w:val="24"/>
        </w:rPr>
      </w:pPr>
      <w:r w:rsidRPr="00D6528B">
        <w:rPr>
          <w:sz w:val="24"/>
          <w:szCs w:val="24"/>
        </w:rPr>
        <w:t>the source-receptor geometry could result in concentrations near or above NAAQS levels either by the modification or the entire facility,</w:t>
      </w:r>
    </w:p>
    <w:p w14:paraId="666999B6" w14:textId="77777777" w:rsidR="005345F3" w:rsidRPr="00D6528B" w:rsidRDefault="005345F3" w:rsidP="005345F3">
      <w:pPr>
        <w:pStyle w:val="ListParagraph"/>
        <w:numPr>
          <w:ilvl w:val="0"/>
          <w:numId w:val="10"/>
        </w:numPr>
        <w:rPr>
          <w:sz w:val="24"/>
          <w:szCs w:val="24"/>
        </w:rPr>
      </w:pPr>
      <w:r w:rsidRPr="00D6528B">
        <w:rPr>
          <w:sz w:val="24"/>
          <w:szCs w:val="24"/>
        </w:rPr>
        <w:t xml:space="preserve">elevated terrain or buildings within close proximity of the source, </w:t>
      </w:r>
    </w:p>
    <w:p w14:paraId="7C3AC716" w14:textId="77777777" w:rsidR="005345F3" w:rsidRPr="00D6528B" w:rsidRDefault="005345F3" w:rsidP="005345F3">
      <w:pPr>
        <w:pStyle w:val="ListParagraph"/>
        <w:numPr>
          <w:ilvl w:val="0"/>
          <w:numId w:val="10"/>
        </w:numPr>
        <w:rPr>
          <w:sz w:val="24"/>
          <w:szCs w:val="24"/>
        </w:rPr>
      </w:pPr>
      <w:r w:rsidRPr="00D6528B">
        <w:rPr>
          <w:sz w:val="24"/>
          <w:szCs w:val="24"/>
        </w:rPr>
        <w:t>the source is located within an area of concern (e.g., significant nearby background sources),</w:t>
      </w:r>
    </w:p>
    <w:p w14:paraId="75F48D60" w14:textId="77777777" w:rsidR="005345F3" w:rsidRPr="00D6528B" w:rsidRDefault="005345F3" w:rsidP="005345F3">
      <w:pPr>
        <w:pStyle w:val="ListParagraph"/>
        <w:numPr>
          <w:ilvl w:val="0"/>
          <w:numId w:val="10"/>
        </w:numPr>
        <w:rPr>
          <w:sz w:val="24"/>
          <w:szCs w:val="24"/>
        </w:rPr>
      </w:pPr>
      <w:r w:rsidRPr="00D6528B">
        <w:rPr>
          <w:sz w:val="24"/>
          <w:szCs w:val="24"/>
        </w:rPr>
        <w:t>unique situations such as topography, meteorology, or existing adverse air quality necessitate an analysis,</w:t>
      </w:r>
    </w:p>
    <w:p w14:paraId="41E09BC7" w14:textId="77777777" w:rsidR="005345F3" w:rsidRPr="00D6528B" w:rsidRDefault="005345F3" w:rsidP="005345F3">
      <w:pPr>
        <w:pStyle w:val="ListParagraph"/>
        <w:numPr>
          <w:ilvl w:val="0"/>
          <w:numId w:val="10"/>
        </w:numPr>
        <w:rPr>
          <w:sz w:val="24"/>
          <w:szCs w:val="24"/>
        </w:rPr>
      </w:pPr>
      <w:r w:rsidRPr="00D6528B">
        <w:rPr>
          <w:sz w:val="24"/>
          <w:szCs w:val="24"/>
        </w:rPr>
        <w:t>short stacks or adverse dispersive conditions exist,</w:t>
      </w:r>
    </w:p>
    <w:p w14:paraId="60C4FD87" w14:textId="77777777" w:rsidR="005345F3" w:rsidRDefault="005345F3" w:rsidP="005345F3">
      <w:pPr>
        <w:pStyle w:val="ListParagraph"/>
        <w:numPr>
          <w:ilvl w:val="0"/>
          <w:numId w:val="10"/>
        </w:numPr>
        <w:rPr>
          <w:sz w:val="24"/>
          <w:szCs w:val="24"/>
        </w:rPr>
      </w:pPr>
      <w:r w:rsidRPr="00D6528B">
        <w:rPr>
          <w:sz w:val="24"/>
          <w:szCs w:val="24"/>
        </w:rPr>
        <w:t>the new source or modification may produce ambient impacts predicting nonattainment based on modeling experience.</w:t>
      </w:r>
    </w:p>
    <w:p w14:paraId="003F14E4" w14:textId="77777777" w:rsidR="00C55313" w:rsidRPr="00D6528B" w:rsidRDefault="00C55313" w:rsidP="00D6528B">
      <w:pPr>
        <w:rPr>
          <w:sz w:val="24"/>
          <w:szCs w:val="24"/>
        </w:rPr>
      </w:pPr>
    </w:p>
    <w:p w14:paraId="0F111113" w14:textId="77777777" w:rsidR="005345F3" w:rsidRPr="00D6528B" w:rsidRDefault="00C55313" w:rsidP="005345F3">
      <w:pPr>
        <w:rPr>
          <w:sz w:val="24"/>
          <w:szCs w:val="24"/>
        </w:rPr>
      </w:pPr>
      <w:r>
        <w:rPr>
          <w:sz w:val="24"/>
          <w:szCs w:val="24"/>
        </w:rPr>
        <w:t>More</w:t>
      </w:r>
      <w:r w:rsidR="005345F3" w:rsidRPr="00D6528B">
        <w:rPr>
          <w:sz w:val="24"/>
          <w:szCs w:val="24"/>
        </w:rPr>
        <w:t xml:space="preserve"> det</w:t>
      </w:r>
      <w:r>
        <w:rPr>
          <w:sz w:val="24"/>
          <w:szCs w:val="24"/>
        </w:rPr>
        <w:t>a</w:t>
      </w:r>
      <w:r w:rsidR="005345F3" w:rsidRPr="00D6528B">
        <w:rPr>
          <w:sz w:val="24"/>
          <w:szCs w:val="24"/>
        </w:rPr>
        <w:t>ils for modeling TRS can be found in Appendix D - Calculation of 30-minute rolling average Total Reduced Sulfur (TRS).</w:t>
      </w:r>
    </w:p>
    <w:p w14:paraId="1CC8B9C2" w14:textId="77777777" w:rsidR="00D511FD" w:rsidRDefault="00D511FD" w:rsidP="00D511FD">
      <w:pPr>
        <w:pStyle w:val="Heading1"/>
        <w:spacing w:before="0"/>
      </w:pPr>
    </w:p>
    <w:p w14:paraId="5B8AFDA1" w14:textId="77777777" w:rsidR="006E7057" w:rsidRPr="003810AF" w:rsidRDefault="00D511FD" w:rsidP="00D511FD">
      <w:pPr>
        <w:pStyle w:val="Heading1"/>
        <w:spacing w:before="0"/>
      </w:pPr>
      <w:bookmarkStart w:id="3" w:name="_Toc489256236"/>
      <w:r>
        <w:t xml:space="preserve">Air </w:t>
      </w:r>
      <w:r w:rsidR="006E7057" w:rsidRPr="003810AF">
        <w:t>Dispersion Modeling Protocol</w:t>
      </w:r>
      <w:bookmarkEnd w:id="3"/>
      <w:r w:rsidR="00D140F4" w:rsidRPr="003810AF">
        <w:t xml:space="preserve"> </w:t>
      </w:r>
    </w:p>
    <w:p w14:paraId="7E30F7B4" w14:textId="77777777" w:rsidR="00D140F4" w:rsidRPr="003810AF" w:rsidRDefault="006E7057" w:rsidP="00162DF4">
      <w:r w:rsidRPr="003810AF">
        <w:t>A p</w:t>
      </w:r>
      <w:r w:rsidR="00403924" w:rsidRPr="003810AF">
        <w:t xml:space="preserve">rotocol </w:t>
      </w:r>
      <w:r w:rsidR="000747E2" w:rsidRPr="003810AF">
        <w:t xml:space="preserve">and a final modeling report are </w:t>
      </w:r>
      <w:r w:rsidR="00403924" w:rsidRPr="003810AF">
        <w:t xml:space="preserve">required for </w:t>
      </w:r>
      <w:r w:rsidR="00E36C72" w:rsidRPr="003810AF">
        <w:t xml:space="preserve">all </w:t>
      </w:r>
      <w:r w:rsidR="00162DF4" w:rsidRPr="003810AF">
        <w:t>modeling demonstrations</w:t>
      </w:r>
      <w:r w:rsidR="00AC1B8B" w:rsidRPr="003810AF">
        <w:t xml:space="preserve">.  </w:t>
      </w:r>
      <w:r w:rsidR="000747E2" w:rsidRPr="003810AF">
        <w:t>The</w:t>
      </w:r>
      <w:r w:rsidR="00AC1B8B" w:rsidRPr="003810AF">
        <w:t xml:space="preserve"> protocol should be submitted prior to any modeling efforts since </w:t>
      </w:r>
      <w:r w:rsidR="00623ABC">
        <w:rPr>
          <w:sz w:val="24"/>
          <w:szCs w:val="24"/>
        </w:rPr>
        <w:t>one</w:t>
      </w:r>
      <w:r w:rsidR="00AC1B8B" w:rsidRPr="00A17BCA">
        <w:rPr>
          <w:sz w:val="24"/>
          <w:szCs w:val="24"/>
        </w:rPr>
        <w:t xml:space="preserve"> i</w:t>
      </w:r>
      <w:r w:rsidR="00065611" w:rsidRPr="00A17BCA">
        <w:rPr>
          <w:sz w:val="24"/>
          <w:szCs w:val="24"/>
        </w:rPr>
        <w:t xml:space="preserve">ntent of a protocol is to ensure </w:t>
      </w:r>
      <w:r w:rsidR="00CA5AEF" w:rsidRPr="00A17BCA">
        <w:rPr>
          <w:sz w:val="24"/>
          <w:szCs w:val="24"/>
        </w:rPr>
        <w:t xml:space="preserve">extensive </w:t>
      </w:r>
      <w:r w:rsidR="00065611" w:rsidRPr="00A17BCA">
        <w:rPr>
          <w:sz w:val="24"/>
          <w:szCs w:val="24"/>
        </w:rPr>
        <w:t xml:space="preserve">remodeling is avoided. </w:t>
      </w:r>
      <w:r w:rsidR="00D140F4" w:rsidRPr="00A17BCA">
        <w:rPr>
          <w:sz w:val="24"/>
          <w:szCs w:val="24"/>
        </w:rPr>
        <w:t xml:space="preserve"> </w:t>
      </w:r>
      <w:r w:rsidR="00065611" w:rsidRPr="00A17BCA">
        <w:rPr>
          <w:sz w:val="24"/>
          <w:szCs w:val="24"/>
        </w:rPr>
        <w:t xml:space="preserve">Typically a protocol is a short </w:t>
      </w:r>
      <w:r w:rsidR="00587DE1" w:rsidRPr="00A17BCA">
        <w:rPr>
          <w:sz w:val="24"/>
          <w:szCs w:val="24"/>
        </w:rPr>
        <w:t>document</w:t>
      </w:r>
      <w:r w:rsidR="00065611" w:rsidRPr="00A17BCA">
        <w:rPr>
          <w:sz w:val="24"/>
          <w:szCs w:val="24"/>
        </w:rPr>
        <w:t xml:space="preserve"> </w:t>
      </w:r>
      <w:r w:rsidR="003C3872" w:rsidRPr="00A17BCA">
        <w:rPr>
          <w:sz w:val="24"/>
          <w:szCs w:val="24"/>
        </w:rPr>
        <w:t xml:space="preserve">that outlines the procedures that will be </w:t>
      </w:r>
      <w:r w:rsidR="00B77836" w:rsidRPr="00A17BCA">
        <w:rPr>
          <w:sz w:val="24"/>
          <w:szCs w:val="24"/>
        </w:rPr>
        <w:t>followed</w:t>
      </w:r>
      <w:r w:rsidR="006E7B51" w:rsidRPr="00A17BCA">
        <w:rPr>
          <w:sz w:val="24"/>
          <w:szCs w:val="24"/>
        </w:rPr>
        <w:t xml:space="preserve"> to demonstrate compliance with the appropriate standards</w:t>
      </w:r>
      <w:r w:rsidR="003C3872" w:rsidRPr="00A17BCA">
        <w:rPr>
          <w:sz w:val="24"/>
          <w:szCs w:val="24"/>
        </w:rPr>
        <w:t xml:space="preserve">.  A </w:t>
      </w:r>
      <w:r w:rsidR="005C6554">
        <w:rPr>
          <w:sz w:val="24"/>
          <w:szCs w:val="24"/>
        </w:rPr>
        <w:t xml:space="preserve">sample </w:t>
      </w:r>
      <w:proofErr w:type="gramStart"/>
      <w:r w:rsidR="003C3872" w:rsidRPr="00A17BCA">
        <w:rPr>
          <w:sz w:val="24"/>
          <w:szCs w:val="24"/>
        </w:rPr>
        <w:t>protocol</w:t>
      </w:r>
      <w:r w:rsidR="00065611" w:rsidRPr="00A17BCA">
        <w:rPr>
          <w:sz w:val="24"/>
          <w:szCs w:val="24"/>
        </w:rPr>
        <w:t xml:space="preserve">  is</w:t>
      </w:r>
      <w:proofErr w:type="gramEnd"/>
      <w:r w:rsidR="00065611" w:rsidRPr="00A17BCA">
        <w:rPr>
          <w:sz w:val="24"/>
          <w:szCs w:val="24"/>
        </w:rPr>
        <w:t xml:space="preserve"> </w:t>
      </w:r>
      <w:r w:rsidR="00065611" w:rsidRPr="003810AF">
        <w:t>available on request</w:t>
      </w:r>
      <w:r w:rsidR="005C6554">
        <w:t xml:space="preserve"> from the Department</w:t>
      </w:r>
      <w:r w:rsidR="00065611" w:rsidRPr="003810AF">
        <w:t xml:space="preserve">. </w:t>
      </w:r>
    </w:p>
    <w:p w14:paraId="379BBC03" w14:textId="77777777" w:rsidR="00D511FD" w:rsidRDefault="00D511FD" w:rsidP="00D511FD">
      <w:pPr>
        <w:pStyle w:val="Heading1"/>
        <w:spacing w:before="0"/>
      </w:pPr>
    </w:p>
    <w:p w14:paraId="6C88903C" w14:textId="77777777" w:rsidR="00623ABC" w:rsidRPr="00D511FD" w:rsidRDefault="00623ABC" w:rsidP="00D511FD">
      <w:pPr>
        <w:pStyle w:val="Heading1"/>
        <w:spacing w:before="0"/>
      </w:pPr>
      <w:bookmarkStart w:id="4" w:name="_Toc489256237"/>
      <w:r w:rsidRPr="00D511FD">
        <w:t>Final Modeling Report</w:t>
      </w:r>
      <w:bookmarkEnd w:id="4"/>
    </w:p>
    <w:p w14:paraId="4E124322" w14:textId="77777777" w:rsidR="00B34F21" w:rsidRPr="003810AF" w:rsidRDefault="00D511FD" w:rsidP="00315014">
      <w:pPr>
        <w:rPr>
          <w:sz w:val="24"/>
          <w:szCs w:val="24"/>
        </w:rPr>
      </w:pPr>
      <w:r>
        <w:rPr>
          <w:sz w:val="24"/>
          <w:szCs w:val="24"/>
        </w:rPr>
        <w:t>I</w:t>
      </w:r>
      <w:r w:rsidR="000747E2" w:rsidRPr="003810AF">
        <w:rPr>
          <w:sz w:val="24"/>
          <w:szCs w:val="24"/>
        </w:rPr>
        <w:t>n addition to a protocol, a final modeling report</w:t>
      </w:r>
      <w:r w:rsidR="00623ABC">
        <w:rPr>
          <w:sz w:val="24"/>
          <w:szCs w:val="24"/>
        </w:rPr>
        <w:t xml:space="preserve"> needs to</w:t>
      </w:r>
      <w:r w:rsidR="000747E2" w:rsidRPr="003810AF">
        <w:rPr>
          <w:sz w:val="24"/>
          <w:szCs w:val="24"/>
        </w:rPr>
        <w:t xml:space="preserve"> be submitted to the NDEQ that </w:t>
      </w:r>
      <w:r w:rsidR="00315014" w:rsidRPr="003810AF">
        <w:rPr>
          <w:sz w:val="24"/>
          <w:szCs w:val="24"/>
        </w:rPr>
        <w:t>contain</w:t>
      </w:r>
      <w:r w:rsidR="00623ABC">
        <w:rPr>
          <w:sz w:val="24"/>
          <w:szCs w:val="24"/>
        </w:rPr>
        <w:t>s</w:t>
      </w:r>
      <w:r w:rsidR="00315014" w:rsidRPr="003810AF">
        <w:rPr>
          <w:sz w:val="24"/>
          <w:szCs w:val="24"/>
        </w:rPr>
        <w:t xml:space="preserve"> </w:t>
      </w:r>
      <w:r w:rsidR="00B34F21" w:rsidRPr="003810AF">
        <w:rPr>
          <w:sz w:val="24"/>
          <w:szCs w:val="24"/>
        </w:rPr>
        <w:t xml:space="preserve">enough information to allow the modeling demonstration to be </w:t>
      </w:r>
      <w:r w:rsidR="00623ABC">
        <w:rPr>
          <w:sz w:val="24"/>
          <w:szCs w:val="24"/>
        </w:rPr>
        <w:t xml:space="preserve">easily </w:t>
      </w:r>
      <w:r w:rsidR="00B34F21" w:rsidRPr="003810AF">
        <w:rPr>
          <w:sz w:val="24"/>
          <w:szCs w:val="24"/>
        </w:rPr>
        <w:t>duplicated</w:t>
      </w:r>
      <w:r w:rsidR="00315014" w:rsidRPr="003810AF">
        <w:rPr>
          <w:sz w:val="24"/>
          <w:szCs w:val="24"/>
        </w:rPr>
        <w:t>, including:</w:t>
      </w:r>
    </w:p>
    <w:p w14:paraId="2DA65A93" w14:textId="77777777" w:rsidR="000747E2" w:rsidRPr="003810AF" w:rsidRDefault="00B34F21" w:rsidP="000747E2">
      <w:pPr>
        <w:numPr>
          <w:ilvl w:val="0"/>
          <w:numId w:val="23"/>
        </w:numPr>
        <w:rPr>
          <w:sz w:val="24"/>
          <w:szCs w:val="24"/>
        </w:rPr>
      </w:pPr>
      <w:r w:rsidRPr="003810AF">
        <w:rPr>
          <w:sz w:val="24"/>
          <w:szCs w:val="24"/>
        </w:rPr>
        <w:t>a narrative explaining any deviations from the approved protocol</w:t>
      </w:r>
      <w:r w:rsidR="000747E2" w:rsidRPr="003810AF">
        <w:rPr>
          <w:sz w:val="24"/>
          <w:szCs w:val="24"/>
        </w:rPr>
        <w:t xml:space="preserve"> </w:t>
      </w:r>
    </w:p>
    <w:p w14:paraId="61ED9078" w14:textId="77777777" w:rsidR="00B34F21" w:rsidRPr="003810AF" w:rsidRDefault="00B34F21" w:rsidP="000747E2">
      <w:pPr>
        <w:numPr>
          <w:ilvl w:val="0"/>
          <w:numId w:val="23"/>
        </w:numPr>
        <w:rPr>
          <w:sz w:val="24"/>
          <w:szCs w:val="24"/>
        </w:rPr>
      </w:pPr>
      <w:r w:rsidRPr="003810AF">
        <w:rPr>
          <w:sz w:val="24"/>
          <w:szCs w:val="24"/>
        </w:rPr>
        <w:t>a description of the project</w:t>
      </w:r>
    </w:p>
    <w:p w14:paraId="71CC27FA" w14:textId="77777777" w:rsidR="000747E2" w:rsidRPr="005C6554" w:rsidRDefault="000747E2" w:rsidP="000747E2">
      <w:pPr>
        <w:numPr>
          <w:ilvl w:val="0"/>
          <w:numId w:val="23"/>
        </w:numPr>
        <w:rPr>
          <w:sz w:val="24"/>
          <w:szCs w:val="24"/>
        </w:rPr>
      </w:pPr>
      <w:r w:rsidRPr="003810AF">
        <w:rPr>
          <w:sz w:val="24"/>
          <w:szCs w:val="24"/>
        </w:rPr>
        <w:t xml:space="preserve">a plot plan of the project with a north arrow showing topographical features, </w:t>
      </w:r>
      <w:r w:rsidR="00623ABC">
        <w:rPr>
          <w:sz w:val="24"/>
          <w:szCs w:val="24"/>
        </w:rPr>
        <w:t xml:space="preserve">facility exterior boundary </w:t>
      </w:r>
      <w:r w:rsidR="00623ABC" w:rsidRPr="00623ABC">
        <w:rPr>
          <w:sz w:val="24"/>
          <w:szCs w:val="24"/>
        </w:rPr>
        <w:t>fence line</w:t>
      </w:r>
      <w:r w:rsidR="00623ABC">
        <w:rPr>
          <w:sz w:val="24"/>
          <w:szCs w:val="24"/>
        </w:rPr>
        <w:t>s</w:t>
      </w:r>
      <w:r w:rsidRPr="003810AF">
        <w:rPr>
          <w:sz w:val="24"/>
          <w:szCs w:val="24"/>
        </w:rPr>
        <w:t xml:space="preserve">, </w:t>
      </w:r>
      <w:r w:rsidR="00623ABC">
        <w:rPr>
          <w:sz w:val="24"/>
          <w:szCs w:val="24"/>
        </w:rPr>
        <w:t xml:space="preserve">and </w:t>
      </w:r>
      <w:r w:rsidRPr="003810AF">
        <w:rPr>
          <w:sz w:val="24"/>
          <w:szCs w:val="24"/>
        </w:rPr>
        <w:t>locations of a</w:t>
      </w:r>
      <w:r w:rsidR="003810AF" w:rsidRPr="005C6554">
        <w:rPr>
          <w:sz w:val="24"/>
          <w:szCs w:val="24"/>
        </w:rPr>
        <w:t>ny</w:t>
      </w:r>
      <w:r w:rsidRPr="005C6554">
        <w:rPr>
          <w:sz w:val="24"/>
          <w:szCs w:val="24"/>
        </w:rPr>
        <w:t xml:space="preserve"> nearby facilities </w:t>
      </w:r>
      <w:r w:rsidR="003810AF" w:rsidRPr="005C6554">
        <w:rPr>
          <w:sz w:val="24"/>
          <w:szCs w:val="24"/>
        </w:rPr>
        <w:t xml:space="preserve">that may have been included in the modeling </w:t>
      </w:r>
      <w:r w:rsidR="00C31802" w:rsidRPr="005C6554">
        <w:rPr>
          <w:sz w:val="24"/>
          <w:szCs w:val="24"/>
        </w:rPr>
        <w:t>demonstration</w:t>
      </w:r>
    </w:p>
    <w:p w14:paraId="4026A099" w14:textId="77777777" w:rsidR="000747E2" w:rsidRPr="003810AF" w:rsidRDefault="00997C49" w:rsidP="000747E2">
      <w:pPr>
        <w:numPr>
          <w:ilvl w:val="0"/>
          <w:numId w:val="23"/>
        </w:numPr>
        <w:rPr>
          <w:sz w:val="24"/>
          <w:szCs w:val="24"/>
        </w:rPr>
      </w:pPr>
      <w:r>
        <w:rPr>
          <w:sz w:val="24"/>
          <w:szCs w:val="24"/>
        </w:rPr>
        <w:t xml:space="preserve">for </w:t>
      </w:r>
      <w:r w:rsidR="000747E2" w:rsidRPr="003810AF">
        <w:rPr>
          <w:sz w:val="24"/>
          <w:szCs w:val="24"/>
        </w:rPr>
        <w:t>all emission sources</w:t>
      </w:r>
      <w:r>
        <w:rPr>
          <w:sz w:val="24"/>
          <w:szCs w:val="24"/>
        </w:rPr>
        <w:t xml:space="preserve"> the</w:t>
      </w:r>
      <w:r w:rsidR="000747E2" w:rsidRPr="003810AF">
        <w:rPr>
          <w:sz w:val="24"/>
          <w:szCs w:val="24"/>
        </w:rPr>
        <w:t xml:space="preserve"> </w:t>
      </w:r>
      <w:r>
        <w:rPr>
          <w:sz w:val="24"/>
          <w:szCs w:val="24"/>
        </w:rPr>
        <w:t>source</w:t>
      </w:r>
      <w:r w:rsidR="000747E2" w:rsidRPr="003810AF">
        <w:rPr>
          <w:sz w:val="24"/>
          <w:szCs w:val="24"/>
        </w:rPr>
        <w:t xml:space="preserve"> design capacities, typical operating schedule</w:t>
      </w:r>
      <w:r>
        <w:rPr>
          <w:sz w:val="24"/>
          <w:szCs w:val="24"/>
        </w:rPr>
        <w:t>(s)</w:t>
      </w:r>
      <w:r w:rsidR="000747E2" w:rsidRPr="003810AF">
        <w:rPr>
          <w:sz w:val="24"/>
          <w:szCs w:val="24"/>
        </w:rPr>
        <w:t>, and respective modeling parameters</w:t>
      </w:r>
      <w:r>
        <w:rPr>
          <w:sz w:val="24"/>
          <w:szCs w:val="24"/>
        </w:rPr>
        <w:t xml:space="preserve"> for each source</w:t>
      </w:r>
      <w:r w:rsidR="000747E2" w:rsidRPr="003810AF">
        <w:rPr>
          <w:sz w:val="24"/>
          <w:szCs w:val="24"/>
        </w:rPr>
        <w:t>.  For example, parameters for point, volume, and area sources shall include:</w:t>
      </w:r>
    </w:p>
    <w:p w14:paraId="24EBF450" w14:textId="77777777" w:rsidR="000747E2" w:rsidRPr="00D6528B" w:rsidRDefault="000747E2" w:rsidP="000747E2">
      <w:pPr>
        <w:numPr>
          <w:ilvl w:val="1"/>
          <w:numId w:val="23"/>
        </w:numPr>
        <w:rPr>
          <w:sz w:val="24"/>
          <w:szCs w:val="24"/>
        </w:rPr>
      </w:pPr>
      <w:r w:rsidRPr="00D6528B">
        <w:rPr>
          <w:sz w:val="24"/>
          <w:szCs w:val="24"/>
        </w:rPr>
        <w:t>UTM coordinates together with the UTM zone, datum, and elevation</w:t>
      </w:r>
    </w:p>
    <w:p w14:paraId="0B0855AA" w14:textId="77777777" w:rsidR="000747E2" w:rsidRPr="00D6528B" w:rsidRDefault="000747E2" w:rsidP="000747E2">
      <w:pPr>
        <w:numPr>
          <w:ilvl w:val="1"/>
          <w:numId w:val="23"/>
        </w:numPr>
        <w:rPr>
          <w:sz w:val="24"/>
          <w:szCs w:val="24"/>
        </w:rPr>
      </w:pPr>
      <w:r w:rsidRPr="00D6528B">
        <w:rPr>
          <w:sz w:val="24"/>
          <w:szCs w:val="24"/>
        </w:rPr>
        <w:t>emission rates</w:t>
      </w:r>
    </w:p>
    <w:p w14:paraId="59CB21DD" w14:textId="77777777" w:rsidR="000747E2" w:rsidRPr="00D6528B" w:rsidRDefault="000747E2" w:rsidP="000747E2">
      <w:pPr>
        <w:numPr>
          <w:ilvl w:val="1"/>
          <w:numId w:val="23"/>
        </w:numPr>
        <w:rPr>
          <w:sz w:val="24"/>
          <w:szCs w:val="24"/>
        </w:rPr>
      </w:pPr>
      <w:r w:rsidRPr="00D6528B">
        <w:rPr>
          <w:sz w:val="24"/>
          <w:szCs w:val="24"/>
        </w:rPr>
        <w:t>point source stack heights</w:t>
      </w:r>
    </w:p>
    <w:p w14:paraId="60DF0395" w14:textId="77777777" w:rsidR="000747E2" w:rsidRPr="00D6528B" w:rsidRDefault="000747E2" w:rsidP="000747E2">
      <w:pPr>
        <w:numPr>
          <w:ilvl w:val="1"/>
          <w:numId w:val="23"/>
        </w:numPr>
        <w:rPr>
          <w:sz w:val="24"/>
          <w:szCs w:val="24"/>
        </w:rPr>
      </w:pPr>
      <w:r w:rsidRPr="00D6528B">
        <w:rPr>
          <w:sz w:val="24"/>
          <w:szCs w:val="24"/>
        </w:rPr>
        <w:t>point source stack gas exit temperature</w:t>
      </w:r>
    </w:p>
    <w:p w14:paraId="66996556" w14:textId="77777777" w:rsidR="000747E2" w:rsidRPr="00D6528B" w:rsidRDefault="000747E2" w:rsidP="000747E2">
      <w:pPr>
        <w:numPr>
          <w:ilvl w:val="1"/>
          <w:numId w:val="23"/>
        </w:numPr>
        <w:rPr>
          <w:sz w:val="24"/>
          <w:szCs w:val="24"/>
        </w:rPr>
      </w:pPr>
      <w:r w:rsidRPr="00D6528B">
        <w:rPr>
          <w:sz w:val="24"/>
          <w:szCs w:val="24"/>
        </w:rPr>
        <w:t>point source stack gas exit velocity</w:t>
      </w:r>
    </w:p>
    <w:p w14:paraId="25D177E6" w14:textId="77777777" w:rsidR="000747E2" w:rsidRPr="00D6528B" w:rsidRDefault="000747E2" w:rsidP="000747E2">
      <w:pPr>
        <w:numPr>
          <w:ilvl w:val="1"/>
          <w:numId w:val="23"/>
        </w:numPr>
        <w:rPr>
          <w:sz w:val="24"/>
          <w:szCs w:val="24"/>
        </w:rPr>
      </w:pPr>
      <w:r w:rsidRPr="00D6528B">
        <w:rPr>
          <w:sz w:val="24"/>
          <w:szCs w:val="24"/>
        </w:rPr>
        <w:t>point source stack inside diameter</w:t>
      </w:r>
    </w:p>
    <w:p w14:paraId="6FF17C5B" w14:textId="77777777" w:rsidR="000747E2" w:rsidRPr="00D6528B" w:rsidRDefault="000747E2" w:rsidP="000747E2">
      <w:pPr>
        <w:numPr>
          <w:ilvl w:val="1"/>
          <w:numId w:val="23"/>
        </w:numPr>
        <w:rPr>
          <w:sz w:val="24"/>
          <w:szCs w:val="24"/>
        </w:rPr>
      </w:pPr>
      <w:r w:rsidRPr="00D6528B">
        <w:rPr>
          <w:sz w:val="24"/>
          <w:szCs w:val="24"/>
        </w:rPr>
        <w:t>volume source initial lateral dimensions</w:t>
      </w:r>
    </w:p>
    <w:p w14:paraId="1E3CAC0B" w14:textId="77777777" w:rsidR="000747E2" w:rsidRPr="00D6528B" w:rsidRDefault="000747E2" w:rsidP="000747E2">
      <w:pPr>
        <w:numPr>
          <w:ilvl w:val="1"/>
          <w:numId w:val="23"/>
        </w:numPr>
        <w:rPr>
          <w:sz w:val="24"/>
          <w:szCs w:val="24"/>
        </w:rPr>
      </w:pPr>
      <w:r w:rsidRPr="00D6528B">
        <w:rPr>
          <w:sz w:val="24"/>
          <w:szCs w:val="24"/>
        </w:rPr>
        <w:t>volume source initial vertical dimensions</w:t>
      </w:r>
    </w:p>
    <w:p w14:paraId="18A0D493" w14:textId="77777777" w:rsidR="000747E2" w:rsidRPr="00D6528B" w:rsidRDefault="000747E2" w:rsidP="000747E2">
      <w:pPr>
        <w:numPr>
          <w:ilvl w:val="1"/>
          <w:numId w:val="23"/>
        </w:numPr>
        <w:rPr>
          <w:sz w:val="24"/>
          <w:szCs w:val="24"/>
        </w:rPr>
      </w:pPr>
      <w:r w:rsidRPr="00D6528B">
        <w:rPr>
          <w:sz w:val="24"/>
          <w:szCs w:val="24"/>
        </w:rPr>
        <w:t>volume source release heights</w:t>
      </w:r>
    </w:p>
    <w:p w14:paraId="6D07D62E" w14:textId="77777777" w:rsidR="000747E2" w:rsidRPr="00D6528B" w:rsidRDefault="000747E2" w:rsidP="000747E2">
      <w:pPr>
        <w:numPr>
          <w:ilvl w:val="1"/>
          <w:numId w:val="23"/>
        </w:numPr>
        <w:rPr>
          <w:sz w:val="24"/>
          <w:szCs w:val="24"/>
        </w:rPr>
      </w:pPr>
      <w:r w:rsidRPr="00D6528B">
        <w:rPr>
          <w:sz w:val="24"/>
          <w:szCs w:val="24"/>
        </w:rPr>
        <w:t>area source X and Y lengths</w:t>
      </w:r>
    </w:p>
    <w:p w14:paraId="60B08730" w14:textId="77777777" w:rsidR="000747E2" w:rsidRPr="00D6528B" w:rsidRDefault="000747E2" w:rsidP="000747E2">
      <w:pPr>
        <w:numPr>
          <w:ilvl w:val="1"/>
          <w:numId w:val="23"/>
        </w:numPr>
        <w:rPr>
          <w:sz w:val="24"/>
          <w:szCs w:val="24"/>
        </w:rPr>
      </w:pPr>
      <w:r w:rsidRPr="00D6528B">
        <w:rPr>
          <w:sz w:val="24"/>
          <w:szCs w:val="24"/>
        </w:rPr>
        <w:lastRenderedPageBreak/>
        <w:t>area source angle</w:t>
      </w:r>
    </w:p>
    <w:p w14:paraId="6F3F2C9A" w14:textId="77777777" w:rsidR="000747E2" w:rsidRPr="00D6528B" w:rsidRDefault="000747E2" w:rsidP="000747E2">
      <w:pPr>
        <w:numPr>
          <w:ilvl w:val="1"/>
          <w:numId w:val="23"/>
        </w:numPr>
        <w:rPr>
          <w:sz w:val="24"/>
          <w:szCs w:val="24"/>
        </w:rPr>
      </w:pPr>
      <w:r w:rsidRPr="00D6528B">
        <w:rPr>
          <w:sz w:val="24"/>
          <w:szCs w:val="24"/>
        </w:rPr>
        <w:t>area source initial vertical dimension (when applicable)</w:t>
      </w:r>
    </w:p>
    <w:p w14:paraId="659F0CEC" w14:textId="77777777" w:rsidR="000747E2" w:rsidRPr="00D6528B" w:rsidRDefault="000747E2" w:rsidP="000747E2">
      <w:pPr>
        <w:numPr>
          <w:ilvl w:val="0"/>
          <w:numId w:val="23"/>
        </w:numPr>
        <w:rPr>
          <w:sz w:val="24"/>
          <w:szCs w:val="24"/>
        </w:rPr>
      </w:pPr>
      <w:r w:rsidRPr="00D6528B">
        <w:rPr>
          <w:sz w:val="24"/>
          <w:szCs w:val="24"/>
        </w:rPr>
        <w:t xml:space="preserve">building dimensions and locations </w:t>
      </w:r>
      <w:r w:rsidR="0039036E" w:rsidRPr="00D6528B">
        <w:rPr>
          <w:sz w:val="24"/>
          <w:szCs w:val="24"/>
        </w:rPr>
        <w:t>including</w:t>
      </w:r>
      <w:r w:rsidR="00F0059A" w:rsidRPr="00D6528B">
        <w:rPr>
          <w:sz w:val="24"/>
          <w:szCs w:val="24"/>
        </w:rPr>
        <w:t xml:space="preserve"> coordinates, building height,</w:t>
      </w:r>
    </w:p>
    <w:p w14:paraId="21BFB90A" w14:textId="77777777" w:rsidR="000747E2" w:rsidRPr="00D6528B" w:rsidRDefault="000747E2" w:rsidP="000747E2">
      <w:pPr>
        <w:numPr>
          <w:ilvl w:val="0"/>
          <w:numId w:val="23"/>
        </w:numPr>
        <w:rPr>
          <w:sz w:val="24"/>
          <w:szCs w:val="24"/>
        </w:rPr>
      </w:pPr>
      <w:r w:rsidRPr="00D6528B">
        <w:rPr>
          <w:sz w:val="24"/>
          <w:szCs w:val="24"/>
        </w:rPr>
        <w:t>fence</w:t>
      </w:r>
      <w:r w:rsidR="00997C49" w:rsidRPr="00D6528B">
        <w:rPr>
          <w:sz w:val="24"/>
          <w:szCs w:val="24"/>
        </w:rPr>
        <w:t xml:space="preserve"> </w:t>
      </w:r>
      <w:r w:rsidRPr="00D6528B">
        <w:rPr>
          <w:sz w:val="24"/>
          <w:szCs w:val="24"/>
        </w:rPr>
        <w:t>line receptors</w:t>
      </w:r>
    </w:p>
    <w:p w14:paraId="532A7F69" w14:textId="77777777" w:rsidR="000747E2" w:rsidRPr="00D6528B" w:rsidRDefault="000747E2" w:rsidP="000747E2">
      <w:pPr>
        <w:numPr>
          <w:ilvl w:val="0"/>
          <w:numId w:val="23"/>
        </w:numPr>
        <w:rPr>
          <w:sz w:val="24"/>
          <w:szCs w:val="24"/>
        </w:rPr>
      </w:pPr>
      <w:r w:rsidRPr="00D6528B">
        <w:rPr>
          <w:sz w:val="24"/>
          <w:szCs w:val="24"/>
        </w:rPr>
        <w:t>a table presenting the modeled impact concentra</w:t>
      </w:r>
      <w:r w:rsidR="00D77F38" w:rsidRPr="00D6528B">
        <w:rPr>
          <w:sz w:val="24"/>
          <w:szCs w:val="24"/>
        </w:rPr>
        <w:t>t</w:t>
      </w:r>
      <w:r w:rsidRPr="00D6528B">
        <w:rPr>
          <w:sz w:val="24"/>
          <w:szCs w:val="24"/>
        </w:rPr>
        <w:t>ion, background concentra</w:t>
      </w:r>
      <w:r w:rsidR="00D77F38" w:rsidRPr="00D6528B">
        <w:rPr>
          <w:sz w:val="24"/>
          <w:szCs w:val="24"/>
        </w:rPr>
        <w:t>t</w:t>
      </w:r>
      <w:r w:rsidRPr="00D6528B">
        <w:rPr>
          <w:sz w:val="24"/>
          <w:szCs w:val="24"/>
        </w:rPr>
        <w:t xml:space="preserve">ion and total impact that is appropriate for </w:t>
      </w:r>
      <w:r w:rsidR="0039036E" w:rsidRPr="00D6528B">
        <w:rPr>
          <w:sz w:val="24"/>
          <w:szCs w:val="24"/>
        </w:rPr>
        <w:t>comparison</w:t>
      </w:r>
      <w:r w:rsidRPr="00D6528B">
        <w:rPr>
          <w:sz w:val="24"/>
          <w:szCs w:val="24"/>
        </w:rPr>
        <w:t xml:space="preserve"> to the standard</w:t>
      </w:r>
    </w:p>
    <w:p w14:paraId="2066C3A0" w14:textId="77777777" w:rsidR="000747E2" w:rsidRPr="00D6528B" w:rsidRDefault="000747E2" w:rsidP="000747E2">
      <w:pPr>
        <w:numPr>
          <w:ilvl w:val="0"/>
          <w:numId w:val="23"/>
        </w:numPr>
        <w:rPr>
          <w:sz w:val="24"/>
          <w:szCs w:val="24"/>
        </w:rPr>
      </w:pPr>
      <w:r w:rsidRPr="00D6528B">
        <w:rPr>
          <w:sz w:val="24"/>
          <w:szCs w:val="24"/>
        </w:rPr>
        <w:t xml:space="preserve">meteorological </w:t>
      </w:r>
      <w:r w:rsidR="00997C49" w:rsidRPr="00D6528B">
        <w:rPr>
          <w:sz w:val="24"/>
          <w:szCs w:val="24"/>
        </w:rPr>
        <w:t xml:space="preserve">(met) </w:t>
      </w:r>
      <w:r w:rsidRPr="00D6528B">
        <w:rPr>
          <w:sz w:val="24"/>
          <w:szCs w:val="24"/>
        </w:rPr>
        <w:t>data used in the analysis</w:t>
      </w:r>
      <w:r w:rsidR="00D77F38" w:rsidRPr="00D6528B">
        <w:rPr>
          <w:sz w:val="24"/>
          <w:szCs w:val="24"/>
        </w:rPr>
        <w:t>, including copies of met files</w:t>
      </w:r>
    </w:p>
    <w:p w14:paraId="216B9ADB" w14:textId="77777777" w:rsidR="00D77F38" w:rsidRPr="00D6528B" w:rsidRDefault="00D77F38" w:rsidP="00D77F38">
      <w:pPr>
        <w:numPr>
          <w:ilvl w:val="0"/>
          <w:numId w:val="23"/>
        </w:numPr>
        <w:rPr>
          <w:sz w:val="24"/>
          <w:szCs w:val="24"/>
        </w:rPr>
      </w:pPr>
      <w:r w:rsidRPr="00D6528B">
        <w:rPr>
          <w:sz w:val="24"/>
          <w:szCs w:val="24"/>
        </w:rPr>
        <w:t xml:space="preserve">copies </w:t>
      </w:r>
      <w:r w:rsidR="00B03B07" w:rsidRPr="00D6528B">
        <w:rPr>
          <w:sz w:val="24"/>
          <w:szCs w:val="24"/>
        </w:rPr>
        <w:t>of USGS National Elevation Dataset (</w:t>
      </w:r>
      <w:r w:rsidRPr="00D6528B">
        <w:rPr>
          <w:sz w:val="24"/>
          <w:szCs w:val="24"/>
        </w:rPr>
        <w:t>NED</w:t>
      </w:r>
      <w:r w:rsidR="00B03B07" w:rsidRPr="00D6528B">
        <w:rPr>
          <w:sz w:val="24"/>
          <w:szCs w:val="24"/>
        </w:rPr>
        <w:t>)</w:t>
      </w:r>
      <w:r w:rsidRPr="00D6528B">
        <w:rPr>
          <w:sz w:val="24"/>
          <w:szCs w:val="24"/>
        </w:rPr>
        <w:t xml:space="preserve"> terrain files</w:t>
      </w:r>
    </w:p>
    <w:p w14:paraId="38209335" w14:textId="77777777" w:rsidR="00B34F21" w:rsidRPr="00D6528B" w:rsidRDefault="00B34F21" w:rsidP="00D77F38">
      <w:pPr>
        <w:numPr>
          <w:ilvl w:val="0"/>
          <w:numId w:val="23"/>
        </w:numPr>
        <w:rPr>
          <w:sz w:val="24"/>
          <w:szCs w:val="24"/>
        </w:rPr>
      </w:pPr>
      <w:r w:rsidRPr="00D6528B">
        <w:rPr>
          <w:sz w:val="24"/>
          <w:szCs w:val="24"/>
        </w:rPr>
        <w:t>all modeling input/output including BPIP-Prime files</w:t>
      </w:r>
    </w:p>
    <w:p w14:paraId="54BC3550" w14:textId="77777777" w:rsidR="00D77F38" w:rsidRPr="00D6528B" w:rsidRDefault="00D77F38" w:rsidP="002827FA">
      <w:pPr>
        <w:rPr>
          <w:sz w:val="24"/>
          <w:szCs w:val="24"/>
        </w:rPr>
      </w:pPr>
    </w:p>
    <w:p w14:paraId="53562ED4" w14:textId="77777777" w:rsidR="000747E2" w:rsidRPr="003810AF" w:rsidRDefault="000747E2" w:rsidP="000747E2">
      <w:pPr>
        <w:rPr>
          <w:sz w:val="24"/>
          <w:szCs w:val="24"/>
        </w:rPr>
      </w:pPr>
      <w:r w:rsidRPr="00D6528B">
        <w:rPr>
          <w:sz w:val="24"/>
          <w:szCs w:val="24"/>
        </w:rPr>
        <w:t>Stack gas exit temperature and velocity should be documented whenever possible.  Calculations of volume source initial vertical</w:t>
      </w:r>
      <w:r w:rsidR="00B34F21" w:rsidRPr="00D6528B">
        <w:rPr>
          <w:sz w:val="24"/>
          <w:szCs w:val="24"/>
        </w:rPr>
        <w:t xml:space="preserve"> dimension(s), initial </w:t>
      </w:r>
      <w:r w:rsidRPr="00D6528B">
        <w:rPr>
          <w:sz w:val="24"/>
          <w:szCs w:val="24"/>
        </w:rPr>
        <w:t>lateral dimension</w:t>
      </w:r>
      <w:r w:rsidR="00B34F21" w:rsidRPr="00D6528B">
        <w:rPr>
          <w:sz w:val="24"/>
          <w:szCs w:val="24"/>
        </w:rPr>
        <w:t>(</w:t>
      </w:r>
      <w:r w:rsidRPr="00D6528B">
        <w:rPr>
          <w:sz w:val="24"/>
          <w:szCs w:val="24"/>
        </w:rPr>
        <w:t>s</w:t>
      </w:r>
      <w:r w:rsidR="00B34F21" w:rsidRPr="00D6528B">
        <w:rPr>
          <w:sz w:val="24"/>
          <w:szCs w:val="24"/>
        </w:rPr>
        <w:t>)</w:t>
      </w:r>
      <w:r w:rsidRPr="00D6528B">
        <w:rPr>
          <w:sz w:val="24"/>
          <w:szCs w:val="24"/>
        </w:rPr>
        <w:t>, and release height</w:t>
      </w:r>
      <w:r w:rsidR="00B34F21" w:rsidRPr="00D6528B">
        <w:rPr>
          <w:sz w:val="24"/>
          <w:szCs w:val="24"/>
        </w:rPr>
        <w:t>(s)</w:t>
      </w:r>
      <w:r w:rsidRPr="00D6528B">
        <w:rPr>
          <w:sz w:val="24"/>
          <w:szCs w:val="24"/>
        </w:rPr>
        <w:t xml:space="preserve"> should be included with an explanation of assumptions used to</w:t>
      </w:r>
      <w:r w:rsidRPr="003810AF">
        <w:rPr>
          <w:sz w:val="24"/>
          <w:szCs w:val="24"/>
        </w:rPr>
        <w:t xml:space="preserve"> p</w:t>
      </w:r>
      <w:r w:rsidR="00997C49" w:rsidRPr="003810AF">
        <w:rPr>
          <w:sz w:val="24"/>
          <w:szCs w:val="24"/>
        </w:rPr>
        <w:t>er</w:t>
      </w:r>
      <w:r w:rsidRPr="003810AF">
        <w:rPr>
          <w:sz w:val="24"/>
          <w:szCs w:val="24"/>
        </w:rPr>
        <w:t>form the calculations.</w:t>
      </w:r>
    </w:p>
    <w:p w14:paraId="2C4F6305" w14:textId="77777777" w:rsidR="00372C8E" w:rsidRDefault="00372C8E" w:rsidP="00372C8E">
      <w:pPr>
        <w:pStyle w:val="Heading1"/>
        <w:spacing w:before="0"/>
      </w:pPr>
    </w:p>
    <w:p w14:paraId="7C966EC9" w14:textId="77777777" w:rsidR="00E90809" w:rsidRPr="00D511FD" w:rsidRDefault="00E90809" w:rsidP="00372C8E">
      <w:pPr>
        <w:pStyle w:val="Heading1"/>
        <w:spacing w:before="0"/>
      </w:pPr>
      <w:bookmarkStart w:id="5" w:name="_Toc489256238"/>
      <w:r w:rsidRPr="00D511FD">
        <w:t>Pr</w:t>
      </w:r>
      <w:r w:rsidR="0024512C" w:rsidRPr="00D511FD">
        <w:t>e-Application Meeting</w:t>
      </w:r>
      <w:bookmarkEnd w:id="5"/>
    </w:p>
    <w:p w14:paraId="32250929" w14:textId="77777777" w:rsidR="00CA5AEF" w:rsidRPr="003810AF" w:rsidRDefault="00F26C88" w:rsidP="00A41EAA">
      <w:pPr>
        <w:rPr>
          <w:sz w:val="24"/>
          <w:szCs w:val="24"/>
        </w:rPr>
      </w:pPr>
      <w:r w:rsidRPr="003810AF">
        <w:rPr>
          <w:sz w:val="24"/>
          <w:szCs w:val="24"/>
        </w:rPr>
        <w:t>A</w:t>
      </w:r>
      <w:r w:rsidR="00F972E8" w:rsidRPr="003810AF">
        <w:rPr>
          <w:sz w:val="24"/>
          <w:szCs w:val="24"/>
        </w:rPr>
        <w:t xml:space="preserve"> pre-application meeting with the </w:t>
      </w:r>
      <w:r w:rsidRPr="003810AF">
        <w:rPr>
          <w:sz w:val="24"/>
          <w:szCs w:val="24"/>
        </w:rPr>
        <w:t xml:space="preserve">Department’s </w:t>
      </w:r>
      <w:r w:rsidR="009F1AC2">
        <w:rPr>
          <w:sz w:val="24"/>
          <w:szCs w:val="24"/>
        </w:rPr>
        <w:t xml:space="preserve">air </w:t>
      </w:r>
      <w:r w:rsidR="00F972E8" w:rsidRPr="003810AF">
        <w:rPr>
          <w:sz w:val="24"/>
          <w:szCs w:val="24"/>
        </w:rPr>
        <w:t xml:space="preserve">permitting and modeling staff </w:t>
      </w:r>
      <w:r w:rsidRPr="003810AF">
        <w:rPr>
          <w:sz w:val="24"/>
          <w:szCs w:val="24"/>
        </w:rPr>
        <w:t>is strong</w:t>
      </w:r>
      <w:r w:rsidR="00162DF4" w:rsidRPr="003810AF">
        <w:rPr>
          <w:sz w:val="24"/>
          <w:szCs w:val="24"/>
        </w:rPr>
        <w:t>ly</w:t>
      </w:r>
      <w:r w:rsidRPr="003810AF">
        <w:rPr>
          <w:sz w:val="24"/>
          <w:szCs w:val="24"/>
        </w:rPr>
        <w:t xml:space="preserve"> recommended.  </w:t>
      </w:r>
      <w:r w:rsidR="00C4086B" w:rsidRPr="003810AF">
        <w:rPr>
          <w:sz w:val="24"/>
          <w:szCs w:val="24"/>
        </w:rPr>
        <w:t xml:space="preserve">This </w:t>
      </w:r>
      <w:r w:rsidRPr="003810AF">
        <w:rPr>
          <w:sz w:val="24"/>
          <w:szCs w:val="24"/>
        </w:rPr>
        <w:t xml:space="preserve">meeting covers </w:t>
      </w:r>
      <w:r w:rsidR="001D392D" w:rsidRPr="003810AF">
        <w:rPr>
          <w:sz w:val="24"/>
          <w:szCs w:val="24"/>
        </w:rPr>
        <w:t xml:space="preserve">the construction permitting process including </w:t>
      </w:r>
      <w:r w:rsidRPr="003810AF">
        <w:rPr>
          <w:sz w:val="24"/>
          <w:szCs w:val="24"/>
        </w:rPr>
        <w:t xml:space="preserve">modeling requirements, </w:t>
      </w:r>
      <w:r w:rsidR="004F4EDD" w:rsidRPr="003810AF">
        <w:rPr>
          <w:sz w:val="24"/>
          <w:szCs w:val="24"/>
        </w:rPr>
        <w:t xml:space="preserve">pollutants and the averaging periods expected to trigger a modeling demonstration, </w:t>
      </w:r>
      <w:r w:rsidRPr="003810AF">
        <w:rPr>
          <w:sz w:val="24"/>
          <w:szCs w:val="24"/>
        </w:rPr>
        <w:t xml:space="preserve">major </w:t>
      </w:r>
      <w:r w:rsidR="004F4EDD" w:rsidRPr="003810AF">
        <w:rPr>
          <w:sz w:val="24"/>
          <w:szCs w:val="24"/>
        </w:rPr>
        <w:t>vs.</w:t>
      </w:r>
      <w:r w:rsidRPr="003810AF">
        <w:rPr>
          <w:sz w:val="24"/>
          <w:szCs w:val="24"/>
        </w:rPr>
        <w:t xml:space="preserve"> minor modeling effort, preconstruction monitoring requirements, </w:t>
      </w:r>
      <w:r w:rsidR="004F4EDD" w:rsidRPr="003810AF">
        <w:rPr>
          <w:sz w:val="24"/>
          <w:szCs w:val="24"/>
        </w:rPr>
        <w:t xml:space="preserve">modeling protocols, </w:t>
      </w:r>
      <w:r w:rsidRPr="003810AF">
        <w:rPr>
          <w:sz w:val="24"/>
          <w:szCs w:val="24"/>
        </w:rPr>
        <w:t xml:space="preserve">and appropriate modeling </w:t>
      </w:r>
      <w:r w:rsidR="00D83FCE" w:rsidRPr="003810AF">
        <w:rPr>
          <w:sz w:val="24"/>
          <w:szCs w:val="24"/>
        </w:rPr>
        <w:t>methodologies</w:t>
      </w:r>
      <w:r w:rsidR="0039036E" w:rsidRPr="003810AF">
        <w:rPr>
          <w:sz w:val="24"/>
          <w:szCs w:val="24"/>
        </w:rPr>
        <w:t xml:space="preserve">.  </w:t>
      </w:r>
      <w:r w:rsidRPr="003810AF">
        <w:rPr>
          <w:sz w:val="24"/>
          <w:szCs w:val="24"/>
        </w:rPr>
        <w:t>It is especially important to determine if preconstruction mo</w:t>
      </w:r>
      <w:r w:rsidR="0022697A" w:rsidRPr="003810AF">
        <w:rPr>
          <w:sz w:val="24"/>
          <w:szCs w:val="24"/>
        </w:rPr>
        <w:t>nitoring</w:t>
      </w:r>
      <w:r w:rsidRPr="003810AF">
        <w:rPr>
          <w:sz w:val="24"/>
          <w:szCs w:val="24"/>
        </w:rPr>
        <w:t xml:space="preserve"> will be required by the source</w:t>
      </w:r>
      <w:r w:rsidR="002C05A4" w:rsidRPr="003810AF">
        <w:rPr>
          <w:sz w:val="24"/>
          <w:szCs w:val="24"/>
        </w:rPr>
        <w:t>, since on site monitoring can take up to one year to complete.</w:t>
      </w:r>
    </w:p>
    <w:p w14:paraId="51DD3259" w14:textId="77777777" w:rsidR="00B870C9" w:rsidRDefault="00B870C9" w:rsidP="00B870C9">
      <w:pPr>
        <w:pStyle w:val="Heading1"/>
        <w:spacing w:before="0"/>
      </w:pPr>
    </w:p>
    <w:p w14:paraId="2DE172F9" w14:textId="77777777" w:rsidR="00CA5AEF" w:rsidRPr="003810AF" w:rsidRDefault="00612DF4" w:rsidP="00B870C9">
      <w:pPr>
        <w:pStyle w:val="Heading1"/>
        <w:spacing w:before="0"/>
      </w:pPr>
      <w:bookmarkStart w:id="6" w:name="_Toc489256239"/>
      <w:r w:rsidRPr="003810AF">
        <w:t>Preconstruction</w:t>
      </w:r>
      <w:r w:rsidR="00CA5AEF" w:rsidRPr="003810AF">
        <w:t xml:space="preserve"> Monitoring</w:t>
      </w:r>
      <w:bookmarkEnd w:id="6"/>
    </w:p>
    <w:p w14:paraId="3D0490DA" w14:textId="77777777" w:rsidR="008E3DA9" w:rsidRDefault="00485B67" w:rsidP="00470353">
      <w:pPr>
        <w:rPr>
          <w:sz w:val="24"/>
          <w:szCs w:val="24"/>
        </w:rPr>
      </w:pPr>
      <w:r w:rsidRPr="003810AF">
        <w:rPr>
          <w:sz w:val="24"/>
          <w:szCs w:val="24"/>
        </w:rPr>
        <w:t xml:space="preserve">An </w:t>
      </w:r>
      <w:r w:rsidR="009F1AC2">
        <w:rPr>
          <w:sz w:val="24"/>
          <w:szCs w:val="24"/>
        </w:rPr>
        <w:t xml:space="preserve">air quality construction permit </w:t>
      </w:r>
      <w:r w:rsidR="00726584" w:rsidRPr="003810AF">
        <w:rPr>
          <w:sz w:val="24"/>
          <w:szCs w:val="24"/>
        </w:rPr>
        <w:t xml:space="preserve">application for a </w:t>
      </w:r>
      <w:r w:rsidR="009F1AC2">
        <w:rPr>
          <w:sz w:val="24"/>
          <w:szCs w:val="24"/>
        </w:rPr>
        <w:t xml:space="preserve">new </w:t>
      </w:r>
      <w:r w:rsidR="00470353" w:rsidRPr="003810AF">
        <w:rPr>
          <w:sz w:val="24"/>
          <w:szCs w:val="24"/>
        </w:rPr>
        <w:t xml:space="preserve">major </w:t>
      </w:r>
      <w:r w:rsidR="00726584" w:rsidRPr="003810AF">
        <w:rPr>
          <w:sz w:val="24"/>
          <w:szCs w:val="24"/>
        </w:rPr>
        <w:t xml:space="preserve">PSD </w:t>
      </w:r>
      <w:r w:rsidR="00470353" w:rsidRPr="003810AF">
        <w:rPr>
          <w:sz w:val="24"/>
          <w:szCs w:val="24"/>
        </w:rPr>
        <w:t xml:space="preserve">source </w:t>
      </w:r>
      <w:r w:rsidR="00726584" w:rsidRPr="003810AF">
        <w:rPr>
          <w:sz w:val="24"/>
          <w:szCs w:val="24"/>
        </w:rPr>
        <w:t>or any existing major PSD source modification shall contain an analysis of ambient air quality</w:t>
      </w:r>
      <w:r w:rsidR="00371F81" w:rsidRPr="003810AF">
        <w:rPr>
          <w:sz w:val="24"/>
          <w:szCs w:val="24"/>
        </w:rPr>
        <w:t xml:space="preserve"> in the area </w:t>
      </w:r>
      <w:r w:rsidR="004812C9" w:rsidRPr="003810AF">
        <w:rPr>
          <w:sz w:val="24"/>
          <w:szCs w:val="24"/>
        </w:rPr>
        <w:t xml:space="preserve">of the </w:t>
      </w:r>
      <w:r w:rsidR="00371F81" w:rsidRPr="003810AF">
        <w:rPr>
          <w:sz w:val="24"/>
          <w:szCs w:val="24"/>
        </w:rPr>
        <w:t>major stationary source</w:t>
      </w:r>
      <w:r w:rsidR="00726584" w:rsidRPr="003810AF">
        <w:rPr>
          <w:sz w:val="24"/>
          <w:szCs w:val="24"/>
        </w:rPr>
        <w:t xml:space="preserve"> </w:t>
      </w:r>
      <w:r w:rsidR="009F1AC2">
        <w:rPr>
          <w:sz w:val="24"/>
          <w:szCs w:val="24"/>
        </w:rPr>
        <w:t xml:space="preserve">(reference:  </w:t>
      </w:r>
      <w:r w:rsidR="004812C9" w:rsidRPr="003810AF">
        <w:rPr>
          <w:sz w:val="24"/>
          <w:szCs w:val="24"/>
        </w:rPr>
        <w:t>Title 129 Ch</w:t>
      </w:r>
      <w:r w:rsidR="009F1AC2">
        <w:rPr>
          <w:sz w:val="24"/>
          <w:szCs w:val="24"/>
        </w:rPr>
        <w:t>.</w:t>
      </w:r>
      <w:r w:rsidR="004812C9" w:rsidRPr="003810AF">
        <w:rPr>
          <w:sz w:val="24"/>
          <w:szCs w:val="24"/>
        </w:rPr>
        <w:t xml:space="preserve"> 19</w:t>
      </w:r>
      <w:r w:rsidR="009F1AC2">
        <w:rPr>
          <w:sz w:val="24"/>
          <w:szCs w:val="24"/>
        </w:rPr>
        <w:t xml:space="preserve">, Section </w:t>
      </w:r>
      <w:r w:rsidR="004812C9" w:rsidRPr="003810AF">
        <w:rPr>
          <w:sz w:val="24"/>
          <w:szCs w:val="24"/>
          <w:u w:val="single"/>
        </w:rPr>
        <w:t>020</w:t>
      </w:r>
      <w:r w:rsidR="004812C9" w:rsidRPr="003810AF">
        <w:rPr>
          <w:sz w:val="24"/>
          <w:szCs w:val="24"/>
        </w:rPr>
        <w:t xml:space="preserve"> and </w:t>
      </w:r>
      <w:r w:rsidR="00371F81" w:rsidRPr="003810AF">
        <w:rPr>
          <w:sz w:val="24"/>
          <w:szCs w:val="24"/>
        </w:rPr>
        <w:t>40 CFR 52.</w:t>
      </w:r>
      <w:r w:rsidR="00F84ED7" w:rsidRPr="003810AF">
        <w:rPr>
          <w:sz w:val="24"/>
          <w:szCs w:val="24"/>
        </w:rPr>
        <w:t>21(m)(1)</w:t>
      </w:r>
      <w:r w:rsidR="009F1AC2">
        <w:rPr>
          <w:sz w:val="24"/>
          <w:szCs w:val="24"/>
        </w:rPr>
        <w:t>)</w:t>
      </w:r>
      <w:r w:rsidR="00371F81" w:rsidRPr="003810AF">
        <w:rPr>
          <w:sz w:val="24"/>
          <w:szCs w:val="24"/>
        </w:rPr>
        <w:t xml:space="preserve">.  The applicant is </w:t>
      </w:r>
      <w:r w:rsidRPr="003810AF">
        <w:rPr>
          <w:sz w:val="24"/>
          <w:szCs w:val="24"/>
        </w:rPr>
        <w:t>required to p</w:t>
      </w:r>
      <w:r w:rsidR="009F1AC2">
        <w:rPr>
          <w:sz w:val="24"/>
          <w:szCs w:val="24"/>
        </w:rPr>
        <w:t>er</w:t>
      </w:r>
      <w:r w:rsidRPr="003810AF">
        <w:rPr>
          <w:sz w:val="24"/>
          <w:szCs w:val="24"/>
        </w:rPr>
        <w:t xml:space="preserve">form </w:t>
      </w:r>
      <w:r w:rsidR="00470353" w:rsidRPr="003810AF">
        <w:rPr>
          <w:sz w:val="24"/>
          <w:szCs w:val="24"/>
        </w:rPr>
        <w:t>preconstruction monitoring unless a m</w:t>
      </w:r>
      <w:r w:rsidR="00726584" w:rsidRPr="003810AF">
        <w:rPr>
          <w:sz w:val="24"/>
          <w:szCs w:val="24"/>
        </w:rPr>
        <w:t>odeling</w:t>
      </w:r>
      <w:r w:rsidR="00470353" w:rsidRPr="003810AF">
        <w:rPr>
          <w:sz w:val="24"/>
          <w:szCs w:val="24"/>
        </w:rPr>
        <w:t xml:space="preserve"> </w:t>
      </w:r>
      <w:r w:rsidR="004812C9" w:rsidRPr="003810AF">
        <w:rPr>
          <w:sz w:val="24"/>
          <w:szCs w:val="24"/>
        </w:rPr>
        <w:t>demonstration</w:t>
      </w:r>
      <w:r w:rsidR="00470353" w:rsidRPr="003810AF">
        <w:rPr>
          <w:sz w:val="24"/>
          <w:szCs w:val="24"/>
        </w:rPr>
        <w:t xml:space="preserve"> determines the highest predicted impact is </w:t>
      </w:r>
      <w:r w:rsidR="00F26C88" w:rsidRPr="003810AF">
        <w:rPr>
          <w:sz w:val="24"/>
          <w:szCs w:val="24"/>
        </w:rPr>
        <w:t xml:space="preserve">less than the </w:t>
      </w:r>
      <w:r w:rsidR="00470353" w:rsidRPr="003810AF">
        <w:rPr>
          <w:sz w:val="24"/>
          <w:szCs w:val="24"/>
        </w:rPr>
        <w:t>de</w:t>
      </w:r>
      <w:r w:rsidR="008E3DA9">
        <w:rPr>
          <w:sz w:val="24"/>
          <w:szCs w:val="24"/>
        </w:rPr>
        <w:t xml:space="preserve"> </w:t>
      </w:r>
      <w:r w:rsidR="00470353" w:rsidRPr="003810AF">
        <w:rPr>
          <w:sz w:val="24"/>
          <w:szCs w:val="24"/>
        </w:rPr>
        <w:t>mini</w:t>
      </w:r>
      <w:r w:rsidR="008E3DA9">
        <w:rPr>
          <w:sz w:val="24"/>
          <w:szCs w:val="24"/>
        </w:rPr>
        <w:t>mi</w:t>
      </w:r>
      <w:r w:rsidR="00470353" w:rsidRPr="003810AF">
        <w:rPr>
          <w:sz w:val="24"/>
          <w:szCs w:val="24"/>
        </w:rPr>
        <w:t xml:space="preserve">s concentrations, also called the </w:t>
      </w:r>
      <w:r w:rsidR="00D83FCE" w:rsidRPr="003810AF">
        <w:rPr>
          <w:sz w:val="24"/>
          <w:szCs w:val="24"/>
        </w:rPr>
        <w:t>Significant Monitoring Concentrati</w:t>
      </w:r>
      <w:r w:rsidR="00D51B68" w:rsidRPr="003810AF">
        <w:rPr>
          <w:sz w:val="24"/>
          <w:szCs w:val="24"/>
        </w:rPr>
        <w:t>on</w:t>
      </w:r>
      <w:r w:rsidR="00D83FCE" w:rsidRPr="003810AF">
        <w:rPr>
          <w:sz w:val="24"/>
          <w:szCs w:val="24"/>
        </w:rPr>
        <w:t xml:space="preserve"> (</w:t>
      </w:r>
      <w:r w:rsidR="00F26C88" w:rsidRPr="003810AF">
        <w:rPr>
          <w:sz w:val="24"/>
          <w:szCs w:val="24"/>
        </w:rPr>
        <w:t>SMC</w:t>
      </w:r>
      <w:r w:rsidR="00D83FCE" w:rsidRPr="003810AF">
        <w:rPr>
          <w:sz w:val="24"/>
          <w:szCs w:val="24"/>
        </w:rPr>
        <w:t>)</w:t>
      </w:r>
      <w:r w:rsidR="00470353" w:rsidRPr="003810AF">
        <w:rPr>
          <w:sz w:val="24"/>
          <w:szCs w:val="24"/>
        </w:rPr>
        <w:t>,</w:t>
      </w:r>
      <w:r w:rsidR="00B76595" w:rsidRPr="003810AF">
        <w:rPr>
          <w:sz w:val="24"/>
          <w:szCs w:val="24"/>
        </w:rPr>
        <w:t xml:space="preserve"> </w:t>
      </w:r>
      <w:r w:rsidR="00C21192" w:rsidRPr="003810AF">
        <w:rPr>
          <w:sz w:val="24"/>
          <w:szCs w:val="24"/>
        </w:rPr>
        <w:t xml:space="preserve">listed in </w:t>
      </w:r>
      <w:r w:rsidR="007B48E8" w:rsidRPr="003810AF">
        <w:rPr>
          <w:sz w:val="24"/>
          <w:szCs w:val="24"/>
        </w:rPr>
        <w:t xml:space="preserve">Table </w:t>
      </w:r>
      <w:r w:rsidR="00EA5832">
        <w:rPr>
          <w:sz w:val="24"/>
          <w:szCs w:val="24"/>
        </w:rPr>
        <w:t>2</w:t>
      </w:r>
      <w:r w:rsidR="00C21192" w:rsidRPr="003810AF">
        <w:rPr>
          <w:sz w:val="24"/>
          <w:szCs w:val="24"/>
        </w:rPr>
        <w:t xml:space="preserve"> below</w:t>
      </w:r>
      <w:r w:rsidR="00470353" w:rsidRPr="003810AF">
        <w:rPr>
          <w:sz w:val="24"/>
          <w:szCs w:val="24"/>
        </w:rPr>
        <w:t>.</w:t>
      </w:r>
    </w:p>
    <w:p w14:paraId="7335BF3A" w14:textId="77777777" w:rsidR="008E3DA9" w:rsidRDefault="008E3DA9" w:rsidP="00470353">
      <w:pPr>
        <w:rPr>
          <w:sz w:val="24"/>
          <w:szCs w:val="24"/>
        </w:rPr>
      </w:pPr>
    </w:p>
    <w:p w14:paraId="6FF61193" w14:textId="77777777" w:rsidR="008E3DA9" w:rsidRDefault="00470353" w:rsidP="00470353">
      <w:pPr>
        <w:rPr>
          <w:sz w:val="24"/>
          <w:szCs w:val="24"/>
        </w:rPr>
      </w:pPr>
      <w:r w:rsidRPr="003810AF">
        <w:rPr>
          <w:sz w:val="24"/>
          <w:szCs w:val="24"/>
        </w:rPr>
        <w:t>If the predicted impacts ar</w:t>
      </w:r>
      <w:r w:rsidR="00371F81" w:rsidRPr="003810AF">
        <w:rPr>
          <w:sz w:val="24"/>
          <w:szCs w:val="24"/>
        </w:rPr>
        <w:t>e</w:t>
      </w:r>
      <w:r w:rsidRPr="003810AF">
        <w:rPr>
          <w:sz w:val="24"/>
          <w:szCs w:val="24"/>
        </w:rPr>
        <w:t xml:space="preserve"> less than</w:t>
      </w:r>
      <w:r w:rsidR="00726584" w:rsidRPr="003810AF">
        <w:rPr>
          <w:sz w:val="24"/>
          <w:szCs w:val="24"/>
        </w:rPr>
        <w:t xml:space="preserve"> </w:t>
      </w:r>
      <w:r w:rsidRPr="003810AF">
        <w:rPr>
          <w:sz w:val="24"/>
          <w:szCs w:val="24"/>
        </w:rPr>
        <w:t>the SMC, t</w:t>
      </w:r>
      <w:r w:rsidR="00F26C88" w:rsidRPr="003810AF">
        <w:rPr>
          <w:sz w:val="24"/>
          <w:szCs w:val="24"/>
        </w:rPr>
        <w:t xml:space="preserve">he applicant is exempt from </w:t>
      </w:r>
      <w:r w:rsidR="009F0F65" w:rsidRPr="003810AF">
        <w:rPr>
          <w:sz w:val="24"/>
          <w:szCs w:val="24"/>
        </w:rPr>
        <w:t xml:space="preserve">preconstruction </w:t>
      </w:r>
      <w:r w:rsidR="00F26C88" w:rsidRPr="003810AF">
        <w:rPr>
          <w:sz w:val="24"/>
          <w:szCs w:val="24"/>
        </w:rPr>
        <w:t>mo</w:t>
      </w:r>
      <w:r w:rsidR="00F84ED7" w:rsidRPr="003810AF">
        <w:rPr>
          <w:sz w:val="24"/>
          <w:szCs w:val="24"/>
        </w:rPr>
        <w:t>nitoring</w:t>
      </w:r>
      <w:r w:rsidR="00C21192" w:rsidRPr="003810AF">
        <w:rPr>
          <w:sz w:val="24"/>
          <w:szCs w:val="24"/>
        </w:rPr>
        <w:t xml:space="preserve">. </w:t>
      </w:r>
      <w:r w:rsidR="00B76595" w:rsidRPr="003810AF">
        <w:rPr>
          <w:sz w:val="24"/>
          <w:szCs w:val="24"/>
        </w:rPr>
        <w:t xml:space="preserve"> </w:t>
      </w:r>
      <w:r w:rsidR="0039036E" w:rsidRPr="003810AF">
        <w:rPr>
          <w:sz w:val="24"/>
          <w:szCs w:val="24"/>
        </w:rPr>
        <w:t xml:space="preserve">For a source whose predicted impacts are more than the SMC, site specific ambient monitoring is required over a period of one year directly </w:t>
      </w:r>
      <w:r w:rsidR="0039036E" w:rsidRPr="003810AF">
        <w:rPr>
          <w:i/>
          <w:sz w:val="24"/>
          <w:szCs w:val="24"/>
          <w:u w:val="single"/>
        </w:rPr>
        <w:t>preceding the receipt of an application</w:t>
      </w:r>
      <w:r w:rsidR="00BC28EC" w:rsidRPr="003810AF">
        <w:rPr>
          <w:sz w:val="24"/>
          <w:szCs w:val="24"/>
        </w:rPr>
        <w:t>.</w:t>
      </w:r>
    </w:p>
    <w:p w14:paraId="4E0D17D5" w14:textId="77777777" w:rsidR="008E3DA9" w:rsidRDefault="008E3DA9" w:rsidP="00470353">
      <w:pPr>
        <w:rPr>
          <w:sz w:val="24"/>
          <w:szCs w:val="24"/>
        </w:rPr>
      </w:pPr>
    </w:p>
    <w:p w14:paraId="675821B7" w14:textId="77777777" w:rsidR="00F972E8" w:rsidRPr="005B3D0C" w:rsidRDefault="004F5A97" w:rsidP="00470353">
      <w:r w:rsidRPr="003810AF">
        <w:rPr>
          <w:sz w:val="24"/>
          <w:szCs w:val="24"/>
        </w:rPr>
        <w:t>A period of less than one year but more than four months can be used i</w:t>
      </w:r>
      <w:r w:rsidR="00BC28EC" w:rsidRPr="003810AF">
        <w:rPr>
          <w:sz w:val="24"/>
          <w:szCs w:val="24"/>
        </w:rPr>
        <w:t xml:space="preserve">f it can be </w:t>
      </w:r>
      <w:r w:rsidR="0039036E" w:rsidRPr="003810AF">
        <w:rPr>
          <w:sz w:val="24"/>
          <w:szCs w:val="24"/>
        </w:rPr>
        <w:t xml:space="preserve">shown </w:t>
      </w:r>
      <w:r w:rsidR="00BC28EC" w:rsidRPr="003810AF">
        <w:rPr>
          <w:sz w:val="24"/>
          <w:szCs w:val="24"/>
        </w:rPr>
        <w:t xml:space="preserve">that </w:t>
      </w:r>
      <w:r w:rsidR="0039036E" w:rsidRPr="003810AF">
        <w:rPr>
          <w:sz w:val="24"/>
          <w:szCs w:val="24"/>
        </w:rPr>
        <w:t>an adequate analysis can be accomplished in a shorter period</w:t>
      </w:r>
      <w:r w:rsidR="00CF1611" w:rsidRPr="003810AF">
        <w:rPr>
          <w:sz w:val="24"/>
          <w:szCs w:val="24"/>
        </w:rPr>
        <w:t xml:space="preserve">.  </w:t>
      </w:r>
      <w:r w:rsidRPr="003810AF">
        <w:rPr>
          <w:sz w:val="24"/>
          <w:szCs w:val="24"/>
        </w:rPr>
        <w:t>Additionally, i</w:t>
      </w:r>
      <w:r w:rsidR="004F4EDD" w:rsidRPr="003810AF">
        <w:rPr>
          <w:sz w:val="24"/>
          <w:szCs w:val="24"/>
        </w:rPr>
        <w:t xml:space="preserve">t </w:t>
      </w:r>
      <w:r w:rsidR="0022697A" w:rsidRPr="003810AF">
        <w:rPr>
          <w:sz w:val="24"/>
          <w:szCs w:val="24"/>
        </w:rPr>
        <w:t>may</w:t>
      </w:r>
      <w:r w:rsidR="004F4EDD" w:rsidRPr="003810AF">
        <w:rPr>
          <w:sz w:val="24"/>
          <w:szCs w:val="24"/>
        </w:rPr>
        <w:t xml:space="preserve"> be possible for the facility to use </w:t>
      </w:r>
      <w:r w:rsidR="00F26C88" w:rsidRPr="003810AF">
        <w:rPr>
          <w:sz w:val="24"/>
          <w:szCs w:val="24"/>
        </w:rPr>
        <w:t>pre</w:t>
      </w:r>
      <w:r w:rsidR="008E3DA9">
        <w:rPr>
          <w:sz w:val="24"/>
          <w:szCs w:val="24"/>
        </w:rPr>
        <w:t>-</w:t>
      </w:r>
      <w:r w:rsidR="00F26C88" w:rsidRPr="003810AF">
        <w:rPr>
          <w:sz w:val="24"/>
          <w:szCs w:val="24"/>
        </w:rPr>
        <w:t>existing monitors operated by the</w:t>
      </w:r>
      <w:r w:rsidR="00BC28EC" w:rsidRPr="003810AF">
        <w:rPr>
          <w:sz w:val="24"/>
          <w:szCs w:val="24"/>
        </w:rPr>
        <w:t xml:space="preserve"> </w:t>
      </w:r>
      <w:r w:rsidR="00B34A29" w:rsidRPr="003810AF">
        <w:rPr>
          <w:sz w:val="24"/>
          <w:szCs w:val="24"/>
        </w:rPr>
        <w:t>NDEQ</w:t>
      </w:r>
      <w:r w:rsidR="00430628" w:rsidRPr="003810AF">
        <w:rPr>
          <w:sz w:val="24"/>
          <w:szCs w:val="24"/>
        </w:rPr>
        <w:t xml:space="preserve"> if the facility can show that ambient air </w:t>
      </w:r>
      <w:r w:rsidR="00F26C88" w:rsidRPr="003810AF">
        <w:rPr>
          <w:sz w:val="24"/>
          <w:szCs w:val="24"/>
        </w:rPr>
        <w:t xml:space="preserve">concentrations </w:t>
      </w:r>
      <w:r w:rsidR="0022697A" w:rsidRPr="003810AF">
        <w:rPr>
          <w:sz w:val="24"/>
          <w:szCs w:val="24"/>
        </w:rPr>
        <w:t>at the pre</w:t>
      </w:r>
      <w:r w:rsidR="008E3DA9">
        <w:rPr>
          <w:sz w:val="24"/>
          <w:szCs w:val="24"/>
        </w:rPr>
        <w:t>-</w:t>
      </w:r>
      <w:r w:rsidR="0022697A" w:rsidRPr="003810AF">
        <w:rPr>
          <w:sz w:val="24"/>
          <w:szCs w:val="24"/>
        </w:rPr>
        <w:t xml:space="preserve">existing monitor </w:t>
      </w:r>
      <w:r w:rsidR="00F26C88" w:rsidRPr="003810AF">
        <w:rPr>
          <w:sz w:val="24"/>
          <w:szCs w:val="24"/>
        </w:rPr>
        <w:t xml:space="preserve">is representative </w:t>
      </w:r>
      <w:r w:rsidR="004F4EDD" w:rsidRPr="003810AF">
        <w:rPr>
          <w:sz w:val="24"/>
          <w:szCs w:val="24"/>
        </w:rPr>
        <w:t xml:space="preserve">of the </w:t>
      </w:r>
      <w:r w:rsidR="0022697A" w:rsidRPr="003810AF">
        <w:rPr>
          <w:sz w:val="24"/>
          <w:szCs w:val="24"/>
        </w:rPr>
        <w:t>source’s location</w:t>
      </w:r>
      <w:r w:rsidR="004F4EDD" w:rsidRPr="003810AF">
        <w:rPr>
          <w:sz w:val="24"/>
          <w:szCs w:val="24"/>
        </w:rPr>
        <w:t>.</w:t>
      </w:r>
    </w:p>
    <w:p w14:paraId="3B12536E" w14:textId="77777777" w:rsidR="00A73FCD" w:rsidRDefault="00A73FCD" w:rsidP="00A41EAA">
      <w:pPr>
        <w:rPr>
          <w:sz w:val="24"/>
          <w:szCs w:val="24"/>
        </w:rPr>
      </w:pPr>
    </w:p>
    <w:p w14:paraId="491776A8" w14:textId="77777777" w:rsidR="008E3DA9" w:rsidRDefault="008E3DA9" w:rsidP="00A41EAA">
      <w:pPr>
        <w:rPr>
          <w:sz w:val="24"/>
          <w:szCs w:val="24"/>
        </w:rPr>
      </w:pPr>
    </w:p>
    <w:p w14:paraId="242FE0C0" w14:textId="77777777" w:rsidR="00EA5832" w:rsidRDefault="00EA5832" w:rsidP="00A41EAA">
      <w:pPr>
        <w:rPr>
          <w:sz w:val="24"/>
          <w:szCs w:val="24"/>
        </w:rPr>
      </w:pPr>
    </w:p>
    <w:p w14:paraId="5BCDF7CC" w14:textId="77777777" w:rsidR="00EA5832" w:rsidRDefault="00EA5832" w:rsidP="00A41EAA">
      <w:pPr>
        <w:rPr>
          <w:sz w:val="24"/>
          <w:szCs w:val="24"/>
        </w:rPr>
      </w:pPr>
    </w:p>
    <w:p w14:paraId="07A822FB" w14:textId="77777777" w:rsidR="00124515" w:rsidRDefault="00124515" w:rsidP="00A41EAA">
      <w:pPr>
        <w:rPr>
          <w:sz w:val="24"/>
          <w:szCs w:val="24"/>
        </w:rPr>
      </w:pPr>
    </w:p>
    <w:p w14:paraId="5852B0CD" w14:textId="77777777" w:rsidR="00EA5832" w:rsidRPr="00D6528B" w:rsidRDefault="00EA5832" w:rsidP="00A41EAA">
      <w:pPr>
        <w:rPr>
          <w:sz w:val="24"/>
          <w:szCs w:val="24"/>
        </w:rPr>
      </w:pPr>
    </w:p>
    <w:p w14:paraId="77559C75" w14:textId="77777777" w:rsidR="00ED52A0" w:rsidRDefault="00ED52A0" w:rsidP="00D6528B">
      <w:pPr>
        <w:rPr>
          <w:sz w:val="24"/>
          <w:szCs w:val="24"/>
        </w:rPr>
      </w:pP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243"/>
        <w:gridCol w:w="2251"/>
        <w:gridCol w:w="2621"/>
      </w:tblGrid>
      <w:tr w:rsidR="006852BC" w:rsidRPr="008E3DA9" w14:paraId="48DB499A" w14:textId="77777777" w:rsidTr="001F766A">
        <w:trPr>
          <w:tblHeader/>
          <w:jc w:val="center"/>
        </w:trPr>
        <w:tc>
          <w:tcPr>
            <w:tcW w:w="7115" w:type="dxa"/>
            <w:gridSpan w:val="3"/>
            <w:tcBorders>
              <w:top w:val="nil"/>
              <w:left w:val="nil"/>
              <w:bottom w:val="single" w:sz="12" w:space="0" w:color="auto"/>
              <w:right w:val="nil"/>
            </w:tcBorders>
            <w:vAlign w:val="center"/>
          </w:tcPr>
          <w:p w14:paraId="2A603B9A" w14:textId="77777777" w:rsidR="006852BC" w:rsidRDefault="006852BC" w:rsidP="006E7759">
            <w:pPr>
              <w:jc w:val="center"/>
              <w:rPr>
                <w:b/>
                <w:sz w:val="24"/>
                <w:szCs w:val="24"/>
              </w:rPr>
            </w:pPr>
            <w:r w:rsidRPr="00D6528B">
              <w:rPr>
                <w:b/>
                <w:sz w:val="24"/>
                <w:szCs w:val="24"/>
              </w:rPr>
              <w:lastRenderedPageBreak/>
              <w:t>Table 2 – Significant Monitoring Concentration (SMC</w:t>
            </w:r>
            <w:r>
              <w:rPr>
                <w:b/>
                <w:sz w:val="24"/>
                <w:szCs w:val="24"/>
              </w:rPr>
              <w:t>)</w:t>
            </w:r>
          </w:p>
        </w:tc>
      </w:tr>
      <w:tr w:rsidR="00CB6DCE" w:rsidRPr="008E3DA9" w14:paraId="12888F56" w14:textId="77777777" w:rsidTr="00D6528B">
        <w:trPr>
          <w:tblHeader/>
          <w:jc w:val="center"/>
        </w:trPr>
        <w:tc>
          <w:tcPr>
            <w:tcW w:w="2243" w:type="dxa"/>
            <w:tcBorders>
              <w:top w:val="single" w:sz="12" w:space="0" w:color="auto"/>
              <w:left w:val="single" w:sz="4" w:space="0" w:color="auto"/>
              <w:bottom w:val="single" w:sz="12" w:space="0" w:color="auto"/>
            </w:tcBorders>
            <w:vAlign w:val="center"/>
          </w:tcPr>
          <w:p w14:paraId="1FA37DCD" w14:textId="77777777" w:rsidR="00CB6DCE" w:rsidRPr="00852E20" w:rsidRDefault="00CB6DCE" w:rsidP="006E7759">
            <w:pPr>
              <w:jc w:val="center"/>
              <w:rPr>
                <w:b/>
                <w:sz w:val="24"/>
                <w:szCs w:val="24"/>
              </w:rPr>
            </w:pPr>
            <w:r w:rsidRPr="00852E20">
              <w:rPr>
                <w:b/>
                <w:sz w:val="24"/>
                <w:szCs w:val="24"/>
              </w:rPr>
              <w:t>Pollutant</w:t>
            </w:r>
          </w:p>
        </w:tc>
        <w:tc>
          <w:tcPr>
            <w:tcW w:w="2251" w:type="dxa"/>
            <w:tcBorders>
              <w:top w:val="single" w:sz="12" w:space="0" w:color="auto"/>
              <w:bottom w:val="single" w:sz="12" w:space="0" w:color="auto"/>
            </w:tcBorders>
            <w:vAlign w:val="center"/>
          </w:tcPr>
          <w:p w14:paraId="5E1DE7AE" w14:textId="77777777" w:rsidR="00CB6DCE" w:rsidRPr="00D6528B" w:rsidRDefault="00CB6DCE" w:rsidP="006E7759">
            <w:pPr>
              <w:jc w:val="center"/>
              <w:rPr>
                <w:b/>
                <w:sz w:val="24"/>
                <w:szCs w:val="24"/>
              </w:rPr>
            </w:pPr>
            <w:r w:rsidRPr="00D6528B">
              <w:rPr>
                <w:b/>
                <w:sz w:val="24"/>
                <w:szCs w:val="24"/>
              </w:rPr>
              <w:t>Averaging Period</w:t>
            </w:r>
          </w:p>
        </w:tc>
        <w:tc>
          <w:tcPr>
            <w:tcW w:w="2621" w:type="dxa"/>
            <w:tcBorders>
              <w:top w:val="single" w:sz="12" w:space="0" w:color="auto"/>
              <w:bottom w:val="single" w:sz="12" w:space="0" w:color="auto"/>
              <w:right w:val="single" w:sz="4" w:space="0" w:color="auto"/>
            </w:tcBorders>
            <w:vAlign w:val="center"/>
          </w:tcPr>
          <w:p w14:paraId="3C4DDF9E" w14:textId="77777777" w:rsidR="00CB6DCE" w:rsidRPr="00D6528B" w:rsidRDefault="00FF3E23" w:rsidP="006E7759">
            <w:pPr>
              <w:jc w:val="center"/>
              <w:rPr>
                <w:b/>
                <w:sz w:val="24"/>
                <w:szCs w:val="24"/>
              </w:rPr>
            </w:pPr>
            <w:r>
              <w:rPr>
                <w:b/>
                <w:sz w:val="24"/>
                <w:szCs w:val="24"/>
              </w:rPr>
              <w:t xml:space="preserve">SMC or </w:t>
            </w:r>
            <w:r w:rsidR="00CB6DCE" w:rsidRPr="00D6528B">
              <w:rPr>
                <w:b/>
                <w:sz w:val="24"/>
                <w:szCs w:val="24"/>
              </w:rPr>
              <w:t>De Minimis Concentration (µg/m</w:t>
            </w:r>
            <w:r w:rsidR="00CB6DCE" w:rsidRPr="00D6528B">
              <w:rPr>
                <w:b/>
                <w:sz w:val="24"/>
                <w:szCs w:val="24"/>
                <w:vertAlign w:val="superscript"/>
              </w:rPr>
              <w:t>3</w:t>
            </w:r>
            <w:r w:rsidR="00CB6DCE" w:rsidRPr="00D6528B">
              <w:rPr>
                <w:b/>
                <w:sz w:val="24"/>
                <w:szCs w:val="24"/>
              </w:rPr>
              <w:t>)</w:t>
            </w:r>
          </w:p>
        </w:tc>
      </w:tr>
      <w:tr w:rsidR="00CB6DCE" w:rsidRPr="008E3DA9" w14:paraId="1244EA98" w14:textId="77777777" w:rsidTr="00D6528B">
        <w:trPr>
          <w:jc w:val="center"/>
        </w:trPr>
        <w:tc>
          <w:tcPr>
            <w:tcW w:w="2243" w:type="dxa"/>
            <w:tcBorders>
              <w:top w:val="single" w:sz="12" w:space="0" w:color="auto"/>
              <w:left w:val="single" w:sz="4" w:space="0" w:color="auto"/>
            </w:tcBorders>
            <w:vAlign w:val="center"/>
          </w:tcPr>
          <w:p w14:paraId="1BEF8F0A" w14:textId="77777777" w:rsidR="00CB6DCE" w:rsidRPr="00852E20" w:rsidRDefault="00CB6DCE" w:rsidP="006E7759">
            <w:pPr>
              <w:jc w:val="center"/>
              <w:rPr>
                <w:sz w:val="24"/>
                <w:szCs w:val="24"/>
              </w:rPr>
            </w:pPr>
            <w:r w:rsidRPr="00852E20">
              <w:rPr>
                <w:sz w:val="24"/>
                <w:szCs w:val="24"/>
              </w:rPr>
              <w:t>CO</w:t>
            </w:r>
          </w:p>
        </w:tc>
        <w:tc>
          <w:tcPr>
            <w:tcW w:w="2251" w:type="dxa"/>
            <w:tcBorders>
              <w:top w:val="single" w:sz="12" w:space="0" w:color="auto"/>
            </w:tcBorders>
            <w:vAlign w:val="center"/>
          </w:tcPr>
          <w:p w14:paraId="504F4055" w14:textId="77777777" w:rsidR="00CB6DCE" w:rsidRPr="00D6528B" w:rsidRDefault="00CB6DCE" w:rsidP="006E7759">
            <w:pPr>
              <w:jc w:val="center"/>
              <w:rPr>
                <w:sz w:val="24"/>
                <w:szCs w:val="24"/>
              </w:rPr>
            </w:pPr>
            <w:r w:rsidRPr="00D6528B">
              <w:rPr>
                <w:sz w:val="24"/>
                <w:szCs w:val="24"/>
              </w:rPr>
              <w:t>8-hour</w:t>
            </w:r>
          </w:p>
        </w:tc>
        <w:tc>
          <w:tcPr>
            <w:tcW w:w="2621" w:type="dxa"/>
            <w:tcBorders>
              <w:top w:val="single" w:sz="12" w:space="0" w:color="auto"/>
              <w:right w:val="single" w:sz="4" w:space="0" w:color="auto"/>
            </w:tcBorders>
            <w:vAlign w:val="center"/>
          </w:tcPr>
          <w:p w14:paraId="0B63E495" w14:textId="77777777" w:rsidR="00CB6DCE" w:rsidRPr="00D6528B" w:rsidRDefault="00CB6DCE" w:rsidP="006E7759">
            <w:pPr>
              <w:jc w:val="center"/>
              <w:rPr>
                <w:sz w:val="24"/>
                <w:szCs w:val="24"/>
              </w:rPr>
            </w:pPr>
            <w:r w:rsidRPr="00D6528B">
              <w:rPr>
                <w:sz w:val="24"/>
                <w:szCs w:val="24"/>
              </w:rPr>
              <w:t>575</w:t>
            </w:r>
          </w:p>
        </w:tc>
      </w:tr>
      <w:tr w:rsidR="00CB6DCE" w:rsidRPr="008E3DA9" w14:paraId="357216E9" w14:textId="77777777" w:rsidTr="00D6528B">
        <w:trPr>
          <w:jc w:val="center"/>
        </w:trPr>
        <w:tc>
          <w:tcPr>
            <w:tcW w:w="2243" w:type="dxa"/>
            <w:tcBorders>
              <w:left w:val="single" w:sz="4" w:space="0" w:color="auto"/>
            </w:tcBorders>
            <w:vAlign w:val="center"/>
          </w:tcPr>
          <w:p w14:paraId="78E8811D" w14:textId="77777777" w:rsidR="00CB6DCE" w:rsidRPr="00852E20" w:rsidRDefault="00CB6DCE" w:rsidP="006E7759">
            <w:pPr>
              <w:jc w:val="center"/>
              <w:rPr>
                <w:sz w:val="24"/>
                <w:szCs w:val="24"/>
              </w:rPr>
            </w:pPr>
            <w:r w:rsidRPr="00852E20">
              <w:rPr>
                <w:sz w:val="24"/>
                <w:szCs w:val="24"/>
              </w:rPr>
              <w:t>NO</w:t>
            </w:r>
            <w:r w:rsidRPr="00852E20">
              <w:rPr>
                <w:sz w:val="24"/>
                <w:szCs w:val="24"/>
                <w:vertAlign w:val="subscript"/>
              </w:rPr>
              <w:t>2</w:t>
            </w:r>
          </w:p>
        </w:tc>
        <w:tc>
          <w:tcPr>
            <w:tcW w:w="2251" w:type="dxa"/>
            <w:vAlign w:val="center"/>
          </w:tcPr>
          <w:p w14:paraId="0AAE22B6" w14:textId="77777777" w:rsidR="00CB6DCE" w:rsidRPr="00D6528B" w:rsidRDefault="00CB6DCE" w:rsidP="006E7759">
            <w:pPr>
              <w:jc w:val="center"/>
              <w:rPr>
                <w:sz w:val="24"/>
                <w:szCs w:val="24"/>
              </w:rPr>
            </w:pPr>
            <w:r w:rsidRPr="00D6528B">
              <w:rPr>
                <w:sz w:val="24"/>
                <w:szCs w:val="24"/>
              </w:rPr>
              <w:t>Annual average</w:t>
            </w:r>
          </w:p>
        </w:tc>
        <w:tc>
          <w:tcPr>
            <w:tcW w:w="2621" w:type="dxa"/>
            <w:tcBorders>
              <w:right w:val="single" w:sz="4" w:space="0" w:color="auto"/>
            </w:tcBorders>
            <w:vAlign w:val="center"/>
          </w:tcPr>
          <w:p w14:paraId="55764641" w14:textId="77777777" w:rsidR="00CB6DCE" w:rsidRPr="00D6528B" w:rsidRDefault="00CB6DCE" w:rsidP="006E7759">
            <w:pPr>
              <w:jc w:val="center"/>
              <w:rPr>
                <w:sz w:val="24"/>
                <w:szCs w:val="24"/>
              </w:rPr>
            </w:pPr>
            <w:r w:rsidRPr="00D6528B">
              <w:rPr>
                <w:sz w:val="24"/>
                <w:szCs w:val="24"/>
              </w:rPr>
              <w:t>14</w:t>
            </w:r>
          </w:p>
        </w:tc>
      </w:tr>
      <w:tr w:rsidR="00CB6DCE" w:rsidRPr="008E3DA9" w14:paraId="7386331E" w14:textId="77777777" w:rsidTr="00D6528B">
        <w:trPr>
          <w:jc w:val="center"/>
        </w:trPr>
        <w:tc>
          <w:tcPr>
            <w:tcW w:w="2243" w:type="dxa"/>
            <w:tcBorders>
              <w:left w:val="single" w:sz="4" w:space="0" w:color="auto"/>
            </w:tcBorders>
            <w:vAlign w:val="center"/>
          </w:tcPr>
          <w:p w14:paraId="74E5C6AD" w14:textId="77777777" w:rsidR="00CB6DCE" w:rsidRPr="00852E20" w:rsidRDefault="00CB6DCE" w:rsidP="006E7759">
            <w:pPr>
              <w:jc w:val="center"/>
              <w:rPr>
                <w:sz w:val="24"/>
                <w:szCs w:val="24"/>
              </w:rPr>
            </w:pPr>
            <w:r w:rsidRPr="00852E20">
              <w:rPr>
                <w:sz w:val="24"/>
                <w:szCs w:val="24"/>
              </w:rPr>
              <w:t>SO</w:t>
            </w:r>
            <w:r w:rsidRPr="00852E20">
              <w:rPr>
                <w:sz w:val="24"/>
                <w:szCs w:val="24"/>
                <w:vertAlign w:val="subscript"/>
              </w:rPr>
              <w:t>2</w:t>
            </w:r>
          </w:p>
        </w:tc>
        <w:tc>
          <w:tcPr>
            <w:tcW w:w="2251" w:type="dxa"/>
            <w:vAlign w:val="center"/>
          </w:tcPr>
          <w:p w14:paraId="2E03D97A" w14:textId="77777777" w:rsidR="00CB6DCE" w:rsidRPr="00D6528B" w:rsidRDefault="00CB6DCE" w:rsidP="006E7759">
            <w:pPr>
              <w:jc w:val="center"/>
              <w:rPr>
                <w:sz w:val="24"/>
                <w:szCs w:val="24"/>
              </w:rPr>
            </w:pPr>
            <w:r w:rsidRPr="00D6528B">
              <w:rPr>
                <w:sz w:val="24"/>
                <w:szCs w:val="24"/>
              </w:rPr>
              <w:t>24-hour</w:t>
            </w:r>
          </w:p>
        </w:tc>
        <w:tc>
          <w:tcPr>
            <w:tcW w:w="2621" w:type="dxa"/>
            <w:tcBorders>
              <w:right w:val="single" w:sz="4" w:space="0" w:color="auto"/>
            </w:tcBorders>
            <w:vAlign w:val="center"/>
          </w:tcPr>
          <w:p w14:paraId="64BAF642" w14:textId="77777777" w:rsidR="00CB6DCE" w:rsidRPr="00D6528B" w:rsidRDefault="00CB6DCE" w:rsidP="006E7759">
            <w:pPr>
              <w:jc w:val="center"/>
              <w:rPr>
                <w:sz w:val="24"/>
                <w:szCs w:val="24"/>
              </w:rPr>
            </w:pPr>
            <w:r w:rsidRPr="00D6528B">
              <w:rPr>
                <w:sz w:val="24"/>
                <w:szCs w:val="24"/>
              </w:rPr>
              <w:t>13</w:t>
            </w:r>
          </w:p>
        </w:tc>
      </w:tr>
      <w:tr w:rsidR="00CB6DCE" w:rsidRPr="008E3DA9" w14:paraId="5C5108D8" w14:textId="77777777" w:rsidTr="00D6528B">
        <w:trPr>
          <w:jc w:val="center"/>
        </w:trPr>
        <w:tc>
          <w:tcPr>
            <w:tcW w:w="2243" w:type="dxa"/>
            <w:tcBorders>
              <w:left w:val="single" w:sz="4" w:space="0" w:color="auto"/>
            </w:tcBorders>
            <w:vAlign w:val="center"/>
          </w:tcPr>
          <w:p w14:paraId="7E63EA60" w14:textId="77777777" w:rsidR="00CB6DCE" w:rsidRPr="00852E20" w:rsidRDefault="00CB6DCE" w:rsidP="006E7759">
            <w:pPr>
              <w:jc w:val="center"/>
              <w:rPr>
                <w:sz w:val="24"/>
                <w:szCs w:val="24"/>
              </w:rPr>
            </w:pPr>
            <w:r w:rsidRPr="00852E20">
              <w:rPr>
                <w:sz w:val="24"/>
                <w:szCs w:val="24"/>
              </w:rPr>
              <w:t>PM</w:t>
            </w:r>
            <w:r w:rsidRPr="00852E20">
              <w:rPr>
                <w:sz w:val="24"/>
                <w:szCs w:val="24"/>
                <w:vertAlign w:val="subscript"/>
              </w:rPr>
              <w:t>10</w:t>
            </w:r>
          </w:p>
        </w:tc>
        <w:tc>
          <w:tcPr>
            <w:tcW w:w="2251" w:type="dxa"/>
            <w:vAlign w:val="center"/>
          </w:tcPr>
          <w:p w14:paraId="5A23550B" w14:textId="77777777" w:rsidR="00CB6DCE" w:rsidRPr="00D6528B" w:rsidRDefault="00CB6DCE" w:rsidP="006E7759">
            <w:pPr>
              <w:jc w:val="center"/>
              <w:rPr>
                <w:sz w:val="24"/>
                <w:szCs w:val="24"/>
              </w:rPr>
            </w:pPr>
            <w:r w:rsidRPr="00D6528B">
              <w:rPr>
                <w:sz w:val="24"/>
                <w:szCs w:val="24"/>
              </w:rPr>
              <w:t>24-hour</w:t>
            </w:r>
          </w:p>
        </w:tc>
        <w:tc>
          <w:tcPr>
            <w:tcW w:w="2621" w:type="dxa"/>
            <w:tcBorders>
              <w:right w:val="single" w:sz="4" w:space="0" w:color="auto"/>
            </w:tcBorders>
            <w:vAlign w:val="center"/>
          </w:tcPr>
          <w:p w14:paraId="18825DB1" w14:textId="77777777" w:rsidR="00CB6DCE" w:rsidRPr="00D6528B" w:rsidRDefault="00CB6DCE" w:rsidP="006E7759">
            <w:pPr>
              <w:jc w:val="center"/>
              <w:rPr>
                <w:sz w:val="24"/>
                <w:szCs w:val="24"/>
              </w:rPr>
            </w:pPr>
            <w:r w:rsidRPr="00D6528B">
              <w:rPr>
                <w:sz w:val="24"/>
                <w:szCs w:val="24"/>
              </w:rPr>
              <w:t>10</w:t>
            </w:r>
          </w:p>
        </w:tc>
      </w:tr>
      <w:tr w:rsidR="00CB6DCE" w:rsidRPr="008E3DA9" w14:paraId="171821EA" w14:textId="77777777" w:rsidTr="00D6528B">
        <w:trPr>
          <w:jc w:val="center"/>
        </w:trPr>
        <w:tc>
          <w:tcPr>
            <w:tcW w:w="2243" w:type="dxa"/>
            <w:tcBorders>
              <w:left w:val="single" w:sz="4" w:space="0" w:color="auto"/>
            </w:tcBorders>
            <w:vAlign w:val="center"/>
          </w:tcPr>
          <w:p w14:paraId="2BCD337E" w14:textId="77777777" w:rsidR="00CB6DCE" w:rsidRPr="00852E20" w:rsidRDefault="00CB6DCE" w:rsidP="006E7759">
            <w:pPr>
              <w:jc w:val="center"/>
              <w:rPr>
                <w:sz w:val="24"/>
                <w:szCs w:val="24"/>
              </w:rPr>
            </w:pPr>
            <w:r w:rsidRPr="00852E20">
              <w:rPr>
                <w:sz w:val="24"/>
                <w:szCs w:val="24"/>
              </w:rPr>
              <w:t>PM</w:t>
            </w:r>
            <w:r w:rsidRPr="00852E20">
              <w:rPr>
                <w:sz w:val="24"/>
                <w:szCs w:val="24"/>
                <w:vertAlign w:val="subscript"/>
              </w:rPr>
              <w:t>2.5</w:t>
            </w:r>
          </w:p>
        </w:tc>
        <w:tc>
          <w:tcPr>
            <w:tcW w:w="4872" w:type="dxa"/>
            <w:gridSpan w:val="2"/>
            <w:tcBorders>
              <w:right w:val="single" w:sz="4" w:space="0" w:color="auto"/>
            </w:tcBorders>
            <w:vAlign w:val="center"/>
          </w:tcPr>
          <w:p w14:paraId="7A3D2743" w14:textId="77777777" w:rsidR="00CB6DCE" w:rsidRPr="008E3DA9" w:rsidRDefault="00CB6DCE" w:rsidP="006E7759">
            <w:pPr>
              <w:jc w:val="center"/>
              <w:rPr>
                <w:sz w:val="24"/>
                <w:szCs w:val="24"/>
              </w:rPr>
            </w:pPr>
            <w:r w:rsidRPr="008B39BC">
              <w:rPr>
                <w:sz w:val="24"/>
                <w:szCs w:val="24"/>
              </w:rPr>
              <w:t>In accordance with Sierra Club v. EPA, 706 F.3d 428 (D.C. Cir. 2013), no exemption is available with regard to PM</w:t>
            </w:r>
            <w:r w:rsidRPr="008B39BC">
              <w:rPr>
                <w:sz w:val="24"/>
                <w:szCs w:val="24"/>
                <w:vertAlign w:val="subscript"/>
              </w:rPr>
              <w:t>2.5</w:t>
            </w:r>
          </w:p>
        </w:tc>
      </w:tr>
      <w:tr w:rsidR="00CB6DCE" w:rsidRPr="008E3DA9" w14:paraId="7232D7B4" w14:textId="77777777" w:rsidTr="00D6528B">
        <w:trPr>
          <w:jc w:val="center"/>
        </w:trPr>
        <w:tc>
          <w:tcPr>
            <w:tcW w:w="2243" w:type="dxa"/>
            <w:tcBorders>
              <w:left w:val="single" w:sz="4" w:space="0" w:color="auto"/>
            </w:tcBorders>
            <w:vAlign w:val="center"/>
          </w:tcPr>
          <w:p w14:paraId="13D9C921" w14:textId="77777777" w:rsidR="00CB6DCE" w:rsidRPr="00852E20" w:rsidRDefault="00CB6DCE">
            <w:pPr>
              <w:jc w:val="center"/>
              <w:rPr>
                <w:sz w:val="24"/>
                <w:szCs w:val="24"/>
              </w:rPr>
            </w:pPr>
            <w:r w:rsidRPr="00852E20">
              <w:rPr>
                <w:sz w:val="24"/>
                <w:szCs w:val="24"/>
              </w:rPr>
              <w:t>Lead (Pb)</w:t>
            </w:r>
          </w:p>
        </w:tc>
        <w:tc>
          <w:tcPr>
            <w:tcW w:w="2251" w:type="dxa"/>
            <w:vAlign w:val="center"/>
          </w:tcPr>
          <w:p w14:paraId="2505B688" w14:textId="77777777" w:rsidR="00CB6DCE" w:rsidRPr="00D6528B" w:rsidRDefault="00CB6DCE" w:rsidP="006E7759">
            <w:pPr>
              <w:jc w:val="center"/>
              <w:rPr>
                <w:sz w:val="24"/>
                <w:szCs w:val="24"/>
              </w:rPr>
            </w:pPr>
            <w:r w:rsidRPr="00D6528B">
              <w:rPr>
                <w:sz w:val="24"/>
                <w:szCs w:val="24"/>
              </w:rPr>
              <w:t>3-month average</w:t>
            </w:r>
          </w:p>
        </w:tc>
        <w:tc>
          <w:tcPr>
            <w:tcW w:w="2621" w:type="dxa"/>
            <w:tcBorders>
              <w:right w:val="single" w:sz="4" w:space="0" w:color="auto"/>
            </w:tcBorders>
            <w:vAlign w:val="center"/>
          </w:tcPr>
          <w:p w14:paraId="67383414" w14:textId="77777777" w:rsidR="00CB6DCE" w:rsidRPr="00D6528B" w:rsidRDefault="00CB6DCE" w:rsidP="006E7759">
            <w:pPr>
              <w:jc w:val="center"/>
              <w:rPr>
                <w:sz w:val="24"/>
                <w:szCs w:val="24"/>
              </w:rPr>
            </w:pPr>
            <w:r w:rsidRPr="00D6528B">
              <w:rPr>
                <w:sz w:val="24"/>
                <w:szCs w:val="24"/>
              </w:rPr>
              <w:t>0.1</w:t>
            </w:r>
          </w:p>
        </w:tc>
      </w:tr>
      <w:tr w:rsidR="00CB6DCE" w:rsidRPr="008E3DA9" w14:paraId="1E07A0A1" w14:textId="77777777" w:rsidTr="00D6528B">
        <w:trPr>
          <w:jc w:val="center"/>
        </w:trPr>
        <w:tc>
          <w:tcPr>
            <w:tcW w:w="2243" w:type="dxa"/>
            <w:tcBorders>
              <w:left w:val="single" w:sz="4" w:space="0" w:color="auto"/>
            </w:tcBorders>
            <w:vAlign w:val="center"/>
          </w:tcPr>
          <w:p w14:paraId="2389F892" w14:textId="77777777" w:rsidR="00CB6DCE" w:rsidRPr="00852E20" w:rsidRDefault="00CB6DCE" w:rsidP="006E7759">
            <w:pPr>
              <w:jc w:val="center"/>
              <w:rPr>
                <w:sz w:val="24"/>
                <w:szCs w:val="24"/>
              </w:rPr>
            </w:pPr>
            <w:r w:rsidRPr="00852E20">
              <w:rPr>
                <w:sz w:val="24"/>
                <w:szCs w:val="24"/>
              </w:rPr>
              <w:t>Total Reduced Sulfur</w:t>
            </w:r>
          </w:p>
        </w:tc>
        <w:tc>
          <w:tcPr>
            <w:tcW w:w="2251" w:type="dxa"/>
            <w:vAlign w:val="center"/>
          </w:tcPr>
          <w:p w14:paraId="7F11CD54" w14:textId="77777777" w:rsidR="00CB6DCE" w:rsidRPr="00D6528B" w:rsidRDefault="00CB6DCE" w:rsidP="006E7759">
            <w:pPr>
              <w:jc w:val="center"/>
              <w:rPr>
                <w:sz w:val="24"/>
                <w:szCs w:val="24"/>
              </w:rPr>
            </w:pPr>
            <w:r w:rsidRPr="00D6528B">
              <w:rPr>
                <w:sz w:val="24"/>
                <w:szCs w:val="24"/>
              </w:rPr>
              <w:t>1-hour average</w:t>
            </w:r>
          </w:p>
        </w:tc>
        <w:tc>
          <w:tcPr>
            <w:tcW w:w="2621" w:type="dxa"/>
            <w:tcBorders>
              <w:right w:val="single" w:sz="4" w:space="0" w:color="auto"/>
            </w:tcBorders>
            <w:vAlign w:val="center"/>
          </w:tcPr>
          <w:p w14:paraId="68FF1CFA" w14:textId="77777777" w:rsidR="00CB6DCE" w:rsidRPr="00D6528B" w:rsidRDefault="00CB6DCE" w:rsidP="006E7759">
            <w:pPr>
              <w:jc w:val="center"/>
              <w:rPr>
                <w:sz w:val="24"/>
                <w:szCs w:val="24"/>
              </w:rPr>
            </w:pPr>
            <w:r w:rsidRPr="00D6528B">
              <w:rPr>
                <w:sz w:val="24"/>
                <w:szCs w:val="24"/>
              </w:rPr>
              <w:t>10</w:t>
            </w:r>
          </w:p>
        </w:tc>
      </w:tr>
    </w:tbl>
    <w:p w14:paraId="25A9F2FE" w14:textId="77777777" w:rsidR="004F4EDD" w:rsidRPr="00D6528B" w:rsidRDefault="00F13FD2" w:rsidP="0097661A">
      <w:pPr>
        <w:ind w:left="720"/>
        <w:rPr>
          <w:sz w:val="24"/>
          <w:szCs w:val="24"/>
        </w:rPr>
      </w:pPr>
      <w:r w:rsidRPr="00D6528B">
        <w:rPr>
          <w:sz w:val="24"/>
          <w:szCs w:val="24"/>
        </w:rPr>
        <w:t xml:space="preserve"> </w:t>
      </w:r>
      <w:r w:rsidR="00B13F93">
        <w:rPr>
          <w:sz w:val="24"/>
          <w:szCs w:val="24"/>
        </w:rPr>
        <w:t xml:space="preserve">    </w:t>
      </w:r>
      <w:r>
        <w:rPr>
          <w:sz w:val="24"/>
          <w:szCs w:val="24"/>
        </w:rPr>
        <w:t xml:space="preserve">Reference:  </w:t>
      </w:r>
      <w:r w:rsidRPr="00D6528B">
        <w:rPr>
          <w:sz w:val="24"/>
          <w:szCs w:val="24"/>
        </w:rPr>
        <w:t xml:space="preserve">Title 129, Ch. 19, </w:t>
      </w:r>
      <w:r w:rsidRPr="00D6528B">
        <w:rPr>
          <w:sz w:val="24"/>
          <w:szCs w:val="24"/>
          <w:u w:val="single"/>
        </w:rPr>
        <w:t>016.07A</w:t>
      </w:r>
      <w:r>
        <w:rPr>
          <w:sz w:val="24"/>
          <w:szCs w:val="24"/>
        </w:rPr>
        <w:t xml:space="preserve"> and 40 CFR 52.21 (</w:t>
      </w:r>
      <w:proofErr w:type="spellStart"/>
      <w:r>
        <w:rPr>
          <w:sz w:val="24"/>
          <w:szCs w:val="24"/>
        </w:rPr>
        <w:t>i</w:t>
      </w:r>
      <w:proofErr w:type="spellEnd"/>
      <w:r>
        <w:rPr>
          <w:sz w:val="24"/>
          <w:szCs w:val="24"/>
        </w:rPr>
        <w:t>)(5)(</w:t>
      </w:r>
      <w:proofErr w:type="spellStart"/>
      <w:r>
        <w:rPr>
          <w:sz w:val="24"/>
          <w:szCs w:val="24"/>
        </w:rPr>
        <w:t>i</w:t>
      </w:r>
      <w:proofErr w:type="spellEnd"/>
      <w:r>
        <w:rPr>
          <w:sz w:val="24"/>
          <w:szCs w:val="24"/>
        </w:rPr>
        <w:t>)(a) thru (</w:t>
      </w:r>
      <w:proofErr w:type="spellStart"/>
      <w:r>
        <w:rPr>
          <w:sz w:val="24"/>
          <w:szCs w:val="24"/>
        </w:rPr>
        <w:t>i</w:t>
      </w:r>
      <w:proofErr w:type="spellEnd"/>
      <w:r>
        <w:rPr>
          <w:sz w:val="24"/>
          <w:szCs w:val="24"/>
        </w:rPr>
        <w:t>)</w:t>
      </w:r>
    </w:p>
    <w:p w14:paraId="03DBBE16" w14:textId="77777777" w:rsidR="000229BA" w:rsidRPr="00D6528B" w:rsidRDefault="00D447F1" w:rsidP="00D511FD">
      <w:pPr>
        <w:pStyle w:val="Heading1"/>
      </w:pPr>
      <w:bookmarkStart w:id="7" w:name="_Toc489256240"/>
      <w:r w:rsidRPr="00D6528B">
        <w:t>Significant Impact Analysis</w:t>
      </w:r>
      <w:bookmarkEnd w:id="7"/>
    </w:p>
    <w:p w14:paraId="2018143B" w14:textId="77777777" w:rsidR="005E78B3" w:rsidRPr="00D6528B" w:rsidRDefault="00C34062" w:rsidP="00F32625">
      <w:pPr>
        <w:rPr>
          <w:sz w:val="24"/>
          <w:szCs w:val="24"/>
        </w:rPr>
      </w:pPr>
      <w:r w:rsidRPr="00D6528B">
        <w:rPr>
          <w:sz w:val="24"/>
          <w:szCs w:val="24"/>
        </w:rPr>
        <w:t xml:space="preserve">If the net emission increase is above the SER threshold, </w:t>
      </w:r>
      <w:r w:rsidR="001D75F7" w:rsidRPr="00D6528B">
        <w:rPr>
          <w:sz w:val="24"/>
          <w:szCs w:val="24"/>
        </w:rPr>
        <w:t xml:space="preserve">the initial step in an air quality analysis is </w:t>
      </w:r>
      <w:r w:rsidR="00F36E04" w:rsidRPr="00D6528B">
        <w:rPr>
          <w:sz w:val="24"/>
          <w:szCs w:val="24"/>
        </w:rPr>
        <w:t xml:space="preserve">to model the net emission increase </w:t>
      </w:r>
      <w:r w:rsidR="001D75F7" w:rsidRPr="00D6528B">
        <w:rPr>
          <w:sz w:val="24"/>
          <w:szCs w:val="24"/>
        </w:rPr>
        <w:t xml:space="preserve">to determine if the impacts are above the Significant Impact Level (SIL) concentrations, listed in Table 4.  </w:t>
      </w:r>
      <w:r w:rsidR="005E78B3" w:rsidRPr="00D6528B">
        <w:rPr>
          <w:sz w:val="24"/>
          <w:szCs w:val="24"/>
        </w:rPr>
        <w:t>If the model predicts impacts that are below the SIL then it can be concluded that the project will not violate the NAAQS, and modeling is complete.  If the model predicts impacts that are above the SIL, a full cumulative impact model is required.</w:t>
      </w:r>
    </w:p>
    <w:p w14:paraId="56CCE4CA" w14:textId="77777777" w:rsidR="005E78B3" w:rsidRPr="00D6528B" w:rsidRDefault="005E78B3" w:rsidP="00F32625">
      <w:pPr>
        <w:rPr>
          <w:sz w:val="24"/>
          <w:szCs w:val="24"/>
        </w:rPr>
      </w:pPr>
    </w:p>
    <w:p w14:paraId="0D71EC8E" w14:textId="77777777" w:rsidR="005E78B3" w:rsidRPr="00CA1232" w:rsidRDefault="001D75F7" w:rsidP="005E78B3">
      <w:pPr>
        <w:rPr>
          <w:sz w:val="24"/>
          <w:szCs w:val="24"/>
        </w:rPr>
      </w:pPr>
      <w:r w:rsidRPr="00D6528B">
        <w:rPr>
          <w:sz w:val="24"/>
          <w:szCs w:val="24"/>
        </w:rPr>
        <w:t xml:space="preserve">The screening model </w:t>
      </w:r>
      <w:r w:rsidR="00F80B73" w:rsidRPr="00D6528B">
        <w:rPr>
          <w:sz w:val="24"/>
          <w:szCs w:val="24"/>
        </w:rPr>
        <w:t xml:space="preserve">AERSCREEN </w:t>
      </w:r>
      <w:r w:rsidR="00F36E04" w:rsidRPr="00D6528B">
        <w:rPr>
          <w:sz w:val="24"/>
          <w:szCs w:val="24"/>
        </w:rPr>
        <w:t xml:space="preserve">or the refined </w:t>
      </w:r>
      <w:r w:rsidR="006F2090" w:rsidRPr="00D6528B">
        <w:rPr>
          <w:sz w:val="24"/>
          <w:szCs w:val="24"/>
        </w:rPr>
        <w:t xml:space="preserve">model </w:t>
      </w:r>
      <w:r w:rsidRPr="00D6528B">
        <w:rPr>
          <w:sz w:val="24"/>
          <w:szCs w:val="24"/>
        </w:rPr>
        <w:t xml:space="preserve">AERMOD can be used to </w:t>
      </w:r>
      <w:r w:rsidR="00F36E04" w:rsidRPr="00CA1232">
        <w:rPr>
          <w:sz w:val="24"/>
          <w:szCs w:val="24"/>
        </w:rPr>
        <w:t>p</w:t>
      </w:r>
      <w:r w:rsidR="00B70A0A">
        <w:rPr>
          <w:sz w:val="24"/>
          <w:szCs w:val="24"/>
        </w:rPr>
        <w:t>er</w:t>
      </w:r>
      <w:r w:rsidR="00F36E04" w:rsidRPr="00CA1232">
        <w:rPr>
          <w:sz w:val="24"/>
          <w:szCs w:val="24"/>
        </w:rPr>
        <w:t xml:space="preserve">form </w:t>
      </w:r>
      <w:r w:rsidRPr="00CA1232">
        <w:rPr>
          <w:sz w:val="24"/>
          <w:szCs w:val="24"/>
        </w:rPr>
        <w:t xml:space="preserve">a SIL analysis.  AERSCREEN can be quickly setup and run, and results from an AERSCREEN model are </w:t>
      </w:r>
      <w:r w:rsidR="005E78B3" w:rsidRPr="00CA1232">
        <w:rPr>
          <w:sz w:val="24"/>
          <w:szCs w:val="24"/>
        </w:rPr>
        <w:t xml:space="preserve">considered </w:t>
      </w:r>
      <w:r w:rsidRPr="00CA1232">
        <w:rPr>
          <w:sz w:val="24"/>
          <w:szCs w:val="24"/>
        </w:rPr>
        <w:t xml:space="preserve">conservative.  AERSCREEN </w:t>
      </w:r>
      <w:r w:rsidR="00F80B73" w:rsidRPr="00CA1232">
        <w:rPr>
          <w:sz w:val="24"/>
          <w:szCs w:val="24"/>
        </w:rPr>
        <w:t>run</w:t>
      </w:r>
      <w:r w:rsidRPr="00CA1232">
        <w:rPr>
          <w:sz w:val="24"/>
          <w:szCs w:val="24"/>
        </w:rPr>
        <w:t>s</w:t>
      </w:r>
      <w:r w:rsidR="00F80B73" w:rsidRPr="00CA1232">
        <w:rPr>
          <w:sz w:val="24"/>
          <w:szCs w:val="24"/>
        </w:rPr>
        <w:t xml:space="preserve"> only one </w:t>
      </w:r>
      <w:r w:rsidRPr="00CA1232">
        <w:rPr>
          <w:sz w:val="24"/>
          <w:szCs w:val="24"/>
        </w:rPr>
        <w:t xml:space="preserve">emission unit </w:t>
      </w:r>
      <w:r w:rsidR="00F80B73" w:rsidRPr="00CA1232">
        <w:rPr>
          <w:sz w:val="24"/>
          <w:szCs w:val="24"/>
        </w:rPr>
        <w:t>at a time and predicts hourly impacts</w:t>
      </w:r>
      <w:r w:rsidR="00141B97" w:rsidRPr="00CA1232">
        <w:rPr>
          <w:sz w:val="24"/>
          <w:szCs w:val="24"/>
        </w:rPr>
        <w:t xml:space="preserve">.  </w:t>
      </w:r>
      <w:r w:rsidR="00A358A8" w:rsidRPr="00CA1232">
        <w:rPr>
          <w:sz w:val="24"/>
          <w:szCs w:val="24"/>
        </w:rPr>
        <w:t xml:space="preserve">To use AERSCREEN for multiple emission units, multiple runs of AERSCREEN can be used, and the results added together.  </w:t>
      </w:r>
      <w:r w:rsidR="00141B97" w:rsidRPr="00CA1232">
        <w:rPr>
          <w:sz w:val="24"/>
          <w:szCs w:val="24"/>
        </w:rPr>
        <w:t xml:space="preserve">The hourly impacts </w:t>
      </w:r>
      <w:r w:rsidR="00F80B73" w:rsidRPr="00CA1232">
        <w:rPr>
          <w:sz w:val="24"/>
          <w:szCs w:val="24"/>
        </w:rPr>
        <w:t xml:space="preserve">can be scaled to 3, 8, 24-hour and annual averaging periods using the factors in Table 3 below.  </w:t>
      </w:r>
      <w:r w:rsidR="005E78B3" w:rsidRPr="00CA1232">
        <w:rPr>
          <w:sz w:val="24"/>
          <w:szCs w:val="24"/>
        </w:rPr>
        <w:t>AERMOD can be used when there are multiple emission units or a less conservative approach to a SIL analysis is desired.</w:t>
      </w:r>
    </w:p>
    <w:p w14:paraId="668CCEE3" w14:textId="77777777" w:rsidR="00B34A29" w:rsidRPr="00CA1232" w:rsidRDefault="00B34A29" w:rsidP="00F32625">
      <w:pPr>
        <w:rPr>
          <w:sz w:val="24"/>
          <w:szCs w:val="24"/>
        </w:rPr>
      </w:pPr>
    </w:p>
    <w:tbl>
      <w:tblPr>
        <w:tblStyle w:val="TableGrid"/>
        <w:tblW w:w="8640" w:type="dxa"/>
        <w:jc w:val="center"/>
        <w:tblBorders>
          <w:top w:val="single" w:sz="2" w:space="0" w:color="auto"/>
        </w:tblBorders>
        <w:tblLook w:val="04A0" w:firstRow="1" w:lastRow="0" w:firstColumn="1" w:lastColumn="0" w:noHBand="0" w:noVBand="1"/>
      </w:tblPr>
      <w:tblGrid>
        <w:gridCol w:w="2031"/>
        <w:gridCol w:w="1279"/>
        <w:gridCol w:w="1269"/>
        <w:gridCol w:w="1269"/>
        <w:gridCol w:w="1519"/>
        <w:gridCol w:w="1273"/>
      </w:tblGrid>
      <w:tr w:rsidR="006E7759" w:rsidRPr="00B70A0A" w14:paraId="1DDEA1AB" w14:textId="77777777" w:rsidTr="00B34A29">
        <w:trPr>
          <w:cantSplit/>
          <w:tblHeader/>
          <w:jc w:val="center"/>
        </w:trPr>
        <w:tc>
          <w:tcPr>
            <w:tcW w:w="8640" w:type="dxa"/>
            <w:gridSpan w:val="6"/>
            <w:tcBorders>
              <w:top w:val="nil"/>
              <w:left w:val="nil"/>
              <w:bottom w:val="single" w:sz="12" w:space="0" w:color="auto"/>
              <w:right w:val="nil"/>
            </w:tcBorders>
            <w:vAlign w:val="center"/>
          </w:tcPr>
          <w:p w14:paraId="42E9C95C" w14:textId="77777777" w:rsidR="006E7759" w:rsidRPr="00CA1232" w:rsidRDefault="006E7759">
            <w:pPr>
              <w:jc w:val="center"/>
              <w:rPr>
                <w:b/>
                <w:sz w:val="24"/>
                <w:szCs w:val="24"/>
              </w:rPr>
            </w:pPr>
            <w:r w:rsidRPr="00CA1232">
              <w:rPr>
                <w:b/>
                <w:sz w:val="24"/>
                <w:szCs w:val="24"/>
              </w:rPr>
              <w:t xml:space="preserve">Table </w:t>
            </w:r>
            <w:r w:rsidR="0039036E" w:rsidRPr="00CA1232">
              <w:rPr>
                <w:b/>
                <w:sz w:val="24"/>
                <w:szCs w:val="24"/>
              </w:rPr>
              <w:t>3</w:t>
            </w:r>
            <w:r w:rsidRPr="00CA1232">
              <w:rPr>
                <w:b/>
                <w:sz w:val="24"/>
                <w:szCs w:val="24"/>
              </w:rPr>
              <w:t xml:space="preserve"> - AERSCREEN Scaling Factors</w:t>
            </w:r>
          </w:p>
        </w:tc>
      </w:tr>
      <w:tr w:rsidR="006E7759" w:rsidRPr="00B70A0A" w14:paraId="4C7DDDDC" w14:textId="77777777" w:rsidTr="00B34A29">
        <w:trPr>
          <w:cantSplit/>
          <w:tblHeader/>
          <w:jc w:val="center"/>
        </w:trPr>
        <w:tc>
          <w:tcPr>
            <w:tcW w:w="2031" w:type="dxa"/>
            <w:tcBorders>
              <w:top w:val="single" w:sz="12" w:space="0" w:color="auto"/>
              <w:left w:val="nil"/>
              <w:bottom w:val="single" w:sz="12" w:space="0" w:color="auto"/>
              <w:right w:val="single" w:sz="2" w:space="0" w:color="auto"/>
            </w:tcBorders>
            <w:vAlign w:val="center"/>
          </w:tcPr>
          <w:p w14:paraId="00ECEF66" w14:textId="77777777" w:rsidR="006E7759" w:rsidRPr="00371468" w:rsidRDefault="006E7759" w:rsidP="006E7759">
            <w:pPr>
              <w:jc w:val="center"/>
              <w:rPr>
                <w:b/>
                <w:sz w:val="24"/>
                <w:szCs w:val="24"/>
              </w:rPr>
            </w:pPr>
            <w:r w:rsidRPr="00371468">
              <w:rPr>
                <w:b/>
                <w:sz w:val="24"/>
                <w:szCs w:val="24"/>
              </w:rPr>
              <w:t>Model Results</w:t>
            </w:r>
          </w:p>
        </w:tc>
        <w:tc>
          <w:tcPr>
            <w:tcW w:w="1279" w:type="dxa"/>
            <w:tcBorders>
              <w:top w:val="single" w:sz="12" w:space="0" w:color="auto"/>
              <w:left w:val="single" w:sz="2" w:space="0" w:color="auto"/>
              <w:bottom w:val="single" w:sz="12" w:space="0" w:color="auto"/>
              <w:right w:val="single" w:sz="2" w:space="0" w:color="auto"/>
            </w:tcBorders>
            <w:vAlign w:val="center"/>
          </w:tcPr>
          <w:p w14:paraId="1CA8BA1A" w14:textId="77777777" w:rsidR="006E7759" w:rsidRPr="00371468" w:rsidRDefault="006E7759" w:rsidP="006E7759">
            <w:pPr>
              <w:jc w:val="center"/>
              <w:rPr>
                <w:b/>
                <w:sz w:val="24"/>
                <w:szCs w:val="24"/>
              </w:rPr>
            </w:pPr>
            <w:r w:rsidRPr="00371468">
              <w:rPr>
                <w:b/>
                <w:sz w:val="24"/>
                <w:szCs w:val="24"/>
              </w:rPr>
              <w:t>1-hour</w:t>
            </w:r>
          </w:p>
        </w:tc>
        <w:tc>
          <w:tcPr>
            <w:tcW w:w="1269" w:type="dxa"/>
            <w:tcBorders>
              <w:top w:val="single" w:sz="12" w:space="0" w:color="auto"/>
              <w:left w:val="single" w:sz="2" w:space="0" w:color="auto"/>
              <w:bottom w:val="single" w:sz="12" w:space="0" w:color="auto"/>
              <w:right w:val="single" w:sz="2" w:space="0" w:color="auto"/>
            </w:tcBorders>
            <w:vAlign w:val="center"/>
          </w:tcPr>
          <w:p w14:paraId="0FF84B12" w14:textId="77777777" w:rsidR="006E7759" w:rsidRPr="00371468" w:rsidRDefault="006E7759" w:rsidP="006E7759">
            <w:pPr>
              <w:jc w:val="center"/>
              <w:rPr>
                <w:b/>
                <w:sz w:val="24"/>
                <w:szCs w:val="24"/>
              </w:rPr>
            </w:pPr>
            <w:r w:rsidRPr="00371468">
              <w:rPr>
                <w:b/>
                <w:sz w:val="24"/>
                <w:szCs w:val="24"/>
              </w:rPr>
              <w:t>3-hour</w:t>
            </w:r>
          </w:p>
        </w:tc>
        <w:tc>
          <w:tcPr>
            <w:tcW w:w="1269" w:type="dxa"/>
            <w:tcBorders>
              <w:top w:val="single" w:sz="12" w:space="0" w:color="auto"/>
              <w:left w:val="single" w:sz="2" w:space="0" w:color="auto"/>
              <w:bottom w:val="single" w:sz="12" w:space="0" w:color="auto"/>
              <w:right w:val="single" w:sz="2" w:space="0" w:color="auto"/>
            </w:tcBorders>
            <w:vAlign w:val="center"/>
          </w:tcPr>
          <w:p w14:paraId="4364A56D" w14:textId="77777777" w:rsidR="006E7759" w:rsidRPr="00371468" w:rsidRDefault="006E7759" w:rsidP="006E7759">
            <w:pPr>
              <w:jc w:val="center"/>
              <w:rPr>
                <w:b/>
                <w:sz w:val="24"/>
                <w:szCs w:val="24"/>
              </w:rPr>
            </w:pPr>
            <w:r w:rsidRPr="00371468">
              <w:rPr>
                <w:b/>
                <w:sz w:val="24"/>
                <w:szCs w:val="24"/>
              </w:rPr>
              <w:t>8-hour</w:t>
            </w:r>
          </w:p>
        </w:tc>
        <w:tc>
          <w:tcPr>
            <w:tcW w:w="1519" w:type="dxa"/>
            <w:tcBorders>
              <w:top w:val="single" w:sz="12" w:space="0" w:color="auto"/>
              <w:left w:val="single" w:sz="2" w:space="0" w:color="auto"/>
              <w:bottom w:val="single" w:sz="12" w:space="0" w:color="auto"/>
              <w:right w:val="single" w:sz="2" w:space="0" w:color="auto"/>
            </w:tcBorders>
            <w:vAlign w:val="center"/>
          </w:tcPr>
          <w:p w14:paraId="072B2B6B" w14:textId="77777777" w:rsidR="006E7759" w:rsidRPr="00371468" w:rsidRDefault="006E7759" w:rsidP="006E7759">
            <w:pPr>
              <w:jc w:val="center"/>
              <w:rPr>
                <w:b/>
                <w:sz w:val="24"/>
                <w:szCs w:val="24"/>
              </w:rPr>
            </w:pPr>
            <w:r w:rsidRPr="00371468">
              <w:rPr>
                <w:b/>
                <w:sz w:val="24"/>
                <w:szCs w:val="24"/>
              </w:rPr>
              <w:t>24-hour</w:t>
            </w:r>
          </w:p>
        </w:tc>
        <w:tc>
          <w:tcPr>
            <w:tcW w:w="1273" w:type="dxa"/>
            <w:tcBorders>
              <w:top w:val="single" w:sz="12" w:space="0" w:color="auto"/>
              <w:left w:val="single" w:sz="2" w:space="0" w:color="auto"/>
              <w:bottom w:val="single" w:sz="12" w:space="0" w:color="auto"/>
              <w:right w:val="nil"/>
            </w:tcBorders>
            <w:vAlign w:val="center"/>
          </w:tcPr>
          <w:p w14:paraId="1E2D5761" w14:textId="77777777" w:rsidR="006E7759" w:rsidRPr="00371468" w:rsidRDefault="006E7759" w:rsidP="006E7759">
            <w:pPr>
              <w:jc w:val="center"/>
              <w:rPr>
                <w:b/>
                <w:sz w:val="24"/>
                <w:szCs w:val="24"/>
              </w:rPr>
            </w:pPr>
            <w:r w:rsidRPr="00371468">
              <w:rPr>
                <w:b/>
                <w:sz w:val="24"/>
                <w:szCs w:val="24"/>
              </w:rPr>
              <w:t>Annual</w:t>
            </w:r>
          </w:p>
        </w:tc>
      </w:tr>
      <w:tr w:rsidR="006E7759" w:rsidRPr="00B70A0A" w14:paraId="2B59BC1D" w14:textId="77777777" w:rsidTr="006048CF">
        <w:trPr>
          <w:cantSplit/>
          <w:jc w:val="center"/>
        </w:trPr>
        <w:tc>
          <w:tcPr>
            <w:tcW w:w="2031" w:type="dxa"/>
            <w:tcBorders>
              <w:top w:val="single" w:sz="12" w:space="0" w:color="auto"/>
              <w:left w:val="nil"/>
              <w:bottom w:val="single" w:sz="12" w:space="0" w:color="auto"/>
            </w:tcBorders>
          </w:tcPr>
          <w:p w14:paraId="13B50E8D" w14:textId="77777777" w:rsidR="006E7759" w:rsidRPr="00371468" w:rsidRDefault="006E7759" w:rsidP="006E7759">
            <w:pPr>
              <w:jc w:val="center"/>
              <w:rPr>
                <w:sz w:val="24"/>
                <w:szCs w:val="24"/>
              </w:rPr>
            </w:pPr>
            <w:r w:rsidRPr="00371468">
              <w:rPr>
                <w:sz w:val="24"/>
                <w:szCs w:val="24"/>
              </w:rPr>
              <w:t>1-hour</w:t>
            </w:r>
          </w:p>
        </w:tc>
        <w:tc>
          <w:tcPr>
            <w:tcW w:w="1279" w:type="dxa"/>
            <w:tcBorders>
              <w:top w:val="single" w:sz="12" w:space="0" w:color="auto"/>
              <w:bottom w:val="single" w:sz="12" w:space="0" w:color="auto"/>
            </w:tcBorders>
          </w:tcPr>
          <w:p w14:paraId="23FBF198" w14:textId="77777777" w:rsidR="006E7759" w:rsidRPr="00371468" w:rsidRDefault="006E7759" w:rsidP="006E7759">
            <w:pPr>
              <w:jc w:val="center"/>
              <w:rPr>
                <w:sz w:val="24"/>
                <w:szCs w:val="24"/>
              </w:rPr>
            </w:pPr>
            <w:r w:rsidRPr="00371468">
              <w:rPr>
                <w:sz w:val="24"/>
                <w:szCs w:val="24"/>
              </w:rPr>
              <w:t>1.0</w:t>
            </w:r>
          </w:p>
        </w:tc>
        <w:tc>
          <w:tcPr>
            <w:tcW w:w="1269" w:type="dxa"/>
            <w:tcBorders>
              <w:top w:val="single" w:sz="12" w:space="0" w:color="auto"/>
              <w:bottom w:val="single" w:sz="12" w:space="0" w:color="auto"/>
            </w:tcBorders>
          </w:tcPr>
          <w:p w14:paraId="13701ACE" w14:textId="77777777" w:rsidR="006E7759" w:rsidRPr="00371468" w:rsidRDefault="006E7759" w:rsidP="006E7759">
            <w:pPr>
              <w:jc w:val="center"/>
              <w:rPr>
                <w:sz w:val="24"/>
                <w:szCs w:val="24"/>
              </w:rPr>
            </w:pPr>
            <w:r w:rsidRPr="00371468">
              <w:rPr>
                <w:sz w:val="24"/>
                <w:szCs w:val="24"/>
              </w:rPr>
              <w:t>1.0</w:t>
            </w:r>
          </w:p>
        </w:tc>
        <w:tc>
          <w:tcPr>
            <w:tcW w:w="1269" w:type="dxa"/>
            <w:tcBorders>
              <w:top w:val="single" w:sz="12" w:space="0" w:color="auto"/>
              <w:bottom w:val="single" w:sz="12" w:space="0" w:color="auto"/>
            </w:tcBorders>
          </w:tcPr>
          <w:p w14:paraId="4EC1085B" w14:textId="77777777" w:rsidR="006E7759" w:rsidRPr="00371468" w:rsidRDefault="006E7759" w:rsidP="006E7759">
            <w:pPr>
              <w:jc w:val="center"/>
              <w:rPr>
                <w:sz w:val="24"/>
                <w:szCs w:val="24"/>
              </w:rPr>
            </w:pPr>
            <w:r w:rsidRPr="00371468">
              <w:rPr>
                <w:sz w:val="24"/>
                <w:szCs w:val="24"/>
              </w:rPr>
              <w:t>0.9</w:t>
            </w:r>
          </w:p>
        </w:tc>
        <w:tc>
          <w:tcPr>
            <w:tcW w:w="1519" w:type="dxa"/>
            <w:tcBorders>
              <w:top w:val="single" w:sz="12" w:space="0" w:color="auto"/>
              <w:bottom w:val="single" w:sz="12" w:space="0" w:color="auto"/>
            </w:tcBorders>
          </w:tcPr>
          <w:p w14:paraId="5E6A7BC0" w14:textId="77777777" w:rsidR="006E7759" w:rsidRPr="00371468" w:rsidRDefault="006E7759" w:rsidP="006E7759">
            <w:pPr>
              <w:jc w:val="center"/>
              <w:rPr>
                <w:sz w:val="24"/>
                <w:szCs w:val="24"/>
              </w:rPr>
            </w:pPr>
            <w:r w:rsidRPr="00371468">
              <w:rPr>
                <w:sz w:val="24"/>
                <w:szCs w:val="24"/>
              </w:rPr>
              <w:t>0.6</w:t>
            </w:r>
          </w:p>
        </w:tc>
        <w:tc>
          <w:tcPr>
            <w:tcW w:w="1273" w:type="dxa"/>
            <w:tcBorders>
              <w:top w:val="single" w:sz="12" w:space="0" w:color="auto"/>
              <w:bottom w:val="single" w:sz="12" w:space="0" w:color="auto"/>
              <w:right w:val="nil"/>
            </w:tcBorders>
          </w:tcPr>
          <w:p w14:paraId="361A55C8" w14:textId="77777777" w:rsidR="006E7759" w:rsidRPr="00371468" w:rsidRDefault="006E7759" w:rsidP="006E7759">
            <w:pPr>
              <w:jc w:val="center"/>
              <w:rPr>
                <w:sz w:val="24"/>
                <w:szCs w:val="24"/>
              </w:rPr>
            </w:pPr>
            <w:r w:rsidRPr="00371468">
              <w:rPr>
                <w:sz w:val="24"/>
                <w:szCs w:val="24"/>
              </w:rPr>
              <w:t>0.1</w:t>
            </w:r>
          </w:p>
        </w:tc>
      </w:tr>
      <w:tr w:rsidR="006E7759" w:rsidRPr="00B70A0A" w14:paraId="0929D005" w14:textId="77777777" w:rsidTr="006048CF">
        <w:trPr>
          <w:cantSplit/>
          <w:jc w:val="center"/>
        </w:trPr>
        <w:tc>
          <w:tcPr>
            <w:tcW w:w="8640" w:type="dxa"/>
            <w:gridSpan w:val="6"/>
            <w:tcBorders>
              <w:top w:val="single" w:sz="12" w:space="0" w:color="auto"/>
              <w:left w:val="nil"/>
              <w:bottom w:val="nil"/>
              <w:right w:val="nil"/>
            </w:tcBorders>
            <w:vAlign w:val="center"/>
          </w:tcPr>
          <w:p w14:paraId="2C9271F0" w14:textId="77777777" w:rsidR="006E7759" w:rsidRPr="00371468" w:rsidRDefault="00B70A0A" w:rsidP="006E7759">
            <w:pPr>
              <w:rPr>
                <w:i/>
                <w:sz w:val="24"/>
                <w:szCs w:val="24"/>
              </w:rPr>
            </w:pPr>
            <w:r>
              <w:rPr>
                <w:i/>
                <w:sz w:val="24"/>
                <w:szCs w:val="24"/>
              </w:rPr>
              <w:t xml:space="preserve">Reference:  </w:t>
            </w:r>
            <w:r w:rsidR="006E7759" w:rsidRPr="00371468">
              <w:rPr>
                <w:i/>
                <w:sz w:val="24"/>
                <w:szCs w:val="24"/>
              </w:rPr>
              <w:t xml:space="preserve">AERSCREEN User's Guide </w:t>
            </w:r>
          </w:p>
        </w:tc>
      </w:tr>
    </w:tbl>
    <w:p w14:paraId="241DFC67" w14:textId="77777777" w:rsidR="00B34A29" w:rsidRPr="00371468" w:rsidRDefault="00B34A29" w:rsidP="00971AA0">
      <w:pPr>
        <w:rPr>
          <w:sz w:val="24"/>
          <w:szCs w:val="24"/>
        </w:rPr>
      </w:pPr>
    </w:p>
    <w:p w14:paraId="2D68B1D1" w14:textId="77777777" w:rsidR="00971AA0" w:rsidRDefault="00971AA0" w:rsidP="00971AA0">
      <w:pPr>
        <w:rPr>
          <w:sz w:val="24"/>
          <w:szCs w:val="24"/>
        </w:rPr>
      </w:pPr>
      <w:r w:rsidRPr="00371468">
        <w:rPr>
          <w:sz w:val="24"/>
          <w:szCs w:val="24"/>
        </w:rPr>
        <w:t xml:space="preserve">If the model predicts impacts </w:t>
      </w:r>
      <w:r w:rsidRPr="00371468">
        <w:rPr>
          <w:i/>
          <w:sz w:val="24"/>
          <w:szCs w:val="24"/>
        </w:rPr>
        <w:t>above</w:t>
      </w:r>
      <w:r w:rsidRPr="00371468">
        <w:rPr>
          <w:sz w:val="24"/>
          <w:szCs w:val="24"/>
        </w:rPr>
        <w:t xml:space="preserve"> the Significant Impact Level (SIL) listed in Table 4, a full impact, cumulative modeling analysis using AERMOD is required.  A cumulative impact analysis includes all of the emissions from the source, not just the net emission increase, plus any nearby facilities expected to cause a significant concentration gradient in the area of the source under consideration, 40 CFR Part 51, App W 8.3.1, and these predicted modeled impacts are added to the background and compared to the NAAQS.  The NDEQ will provide a list of </w:t>
      </w:r>
      <w:r w:rsidR="00B70A0A">
        <w:rPr>
          <w:sz w:val="24"/>
          <w:szCs w:val="24"/>
        </w:rPr>
        <w:t>nearby sources (</w:t>
      </w:r>
      <w:proofErr w:type="spellStart"/>
      <w:r w:rsidRPr="003810AF">
        <w:rPr>
          <w:sz w:val="24"/>
          <w:szCs w:val="24"/>
        </w:rPr>
        <w:t>nearbys</w:t>
      </w:r>
      <w:proofErr w:type="spellEnd"/>
      <w:r w:rsidR="00B70A0A">
        <w:rPr>
          <w:sz w:val="24"/>
          <w:szCs w:val="24"/>
        </w:rPr>
        <w:t>)</w:t>
      </w:r>
      <w:r w:rsidRPr="003810AF">
        <w:rPr>
          <w:sz w:val="24"/>
          <w:szCs w:val="24"/>
        </w:rPr>
        <w:t xml:space="preserve"> and their modeling parameters on request.</w:t>
      </w:r>
    </w:p>
    <w:p w14:paraId="247A73D2" w14:textId="77777777" w:rsidR="004D7D18" w:rsidRDefault="004D7D18" w:rsidP="00971AA0">
      <w:pPr>
        <w:rPr>
          <w:sz w:val="24"/>
          <w:szCs w:val="24"/>
        </w:rPr>
      </w:pPr>
    </w:p>
    <w:p w14:paraId="08BA116A" w14:textId="77777777" w:rsidR="00971AA0" w:rsidRPr="00D6528B" w:rsidRDefault="00971AA0" w:rsidP="008230C9">
      <w:pPr>
        <w:rPr>
          <w:sz w:val="24"/>
          <w:szCs w:val="24"/>
        </w:rPr>
      </w:pPr>
    </w:p>
    <w:tbl>
      <w:tblPr>
        <w:tblStyle w:val="TableGrid"/>
        <w:tblW w:w="8640" w:type="dxa"/>
        <w:jc w:val="center"/>
        <w:tblLook w:val="04A0" w:firstRow="1" w:lastRow="0" w:firstColumn="1" w:lastColumn="0" w:noHBand="0" w:noVBand="1"/>
      </w:tblPr>
      <w:tblGrid>
        <w:gridCol w:w="1296"/>
        <w:gridCol w:w="1314"/>
        <w:gridCol w:w="1170"/>
        <w:gridCol w:w="2430"/>
        <w:gridCol w:w="2430"/>
      </w:tblGrid>
      <w:tr w:rsidR="006E7759" w:rsidRPr="00B70A0A" w14:paraId="1ACA0A0C" w14:textId="77777777" w:rsidTr="004D7D18">
        <w:trPr>
          <w:cantSplit/>
          <w:tblHeader/>
          <w:jc w:val="center"/>
        </w:trPr>
        <w:tc>
          <w:tcPr>
            <w:tcW w:w="8640" w:type="dxa"/>
            <w:gridSpan w:val="5"/>
            <w:tcBorders>
              <w:top w:val="nil"/>
              <w:left w:val="nil"/>
              <w:bottom w:val="single" w:sz="12" w:space="0" w:color="auto"/>
              <w:right w:val="nil"/>
            </w:tcBorders>
          </w:tcPr>
          <w:p w14:paraId="653AC5FB" w14:textId="77777777" w:rsidR="006E7759" w:rsidRPr="00D6528B" w:rsidRDefault="0039036E">
            <w:pPr>
              <w:jc w:val="center"/>
              <w:rPr>
                <w:b/>
                <w:sz w:val="24"/>
                <w:szCs w:val="24"/>
              </w:rPr>
            </w:pPr>
            <w:r w:rsidRPr="00D6528B">
              <w:rPr>
                <w:b/>
                <w:sz w:val="24"/>
                <w:szCs w:val="24"/>
              </w:rPr>
              <w:t>Table 4</w:t>
            </w:r>
            <w:r w:rsidR="006E7759" w:rsidRPr="00D6528B">
              <w:rPr>
                <w:b/>
                <w:sz w:val="24"/>
                <w:szCs w:val="24"/>
              </w:rPr>
              <w:t xml:space="preserve"> - Significant Impact Levels (SIL)</w:t>
            </w:r>
          </w:p>
        </w:tc>
      </w:tr>
      <w:tr w:rsidR="006E7759" w:rsidRPr="00B70A0A" w14:paraId="5E66B4BE" w14:textId="77777777" w:rsidTr="00D6528B">
        <w:trPr>
          <w:cantSplit/>
          <w:tblHeader/>
          <w:jc w:val="center"/>
        </w:trPr>
        <w:tc>
          <w:tcPr>
            <w:tcW w:w="1296" w:type="dxa"/>
            <w:tcBorders>
              <w:top w:val="nil"/>
              <w:left w:val="single" w:sz="4" w:space="0" w:color="auto"/>
              <w:bottom w:val="single" w:sz="12" w:space="0" w:color="auto"/>
            </w:tcBorders>
            <w:vAlign w:val="center"/>
          </w:tcPr>
          <w:p w14:paraId="53F03C5C" w14:textId="77777777" w:rsidR="006E7759" w:rsidRPr="00D6528B" w:rsidRDefault="006E7759" w:rsidP="00D6528B">
            <w:pPr>
              <w:jc w:val="center"/>
              <w:rPr>
                <w:b/>
                <w:sz w:val="24"/>
                <w:szCs w:val="24"/>
              </w:rPr>
            </w:pPr>
            <w:r w:rsidRPr="00D6528B">
              <w:rPr>
                <w:b/>
                <w:sz w:val="24"/>
                <w:szCs w:val="24"/>
              </w:rPr>
              <w:t>Pollutant</w:t>
            </w:r>
          </w:p>
        </w:tc>
        <w:tc>
          <w:tcPr>
            <w:tcW w:w="1314" w:type="dxa"/>
            <w:tcBorders>
              <w:top w:val="nil"/>
              <w:bottom w:val="single" w:sz="12" w:space="0" w:color="auto"/>
            </w:tcBorders>
            <w:vAlign w:val="center"/>
          </w:tcPr>
          <w:p w14:paraId="424872A2" w14:textId="77777777" w:rsidR="006E7759" w:rsidRPr="00D6528B" w:rsidRDefault="006E7759" w:rsidP="00D6528B">
            <w:pPr>
              <w:jc w:val="center"/>
              <w:rPr>
                <w:b/>
                <w:sz w:val="24"/>
                <w:szCs w:val="24"/>
              </w:rPr>
            </w:pPr>
            <w:r w:rsidRPr="00D6528B">
              <w:rPr>
                <w:b/>
                <w:sz w:val="24"/>
                <w:szCs w:val="24"/>
              </w:rPr>
              <w:t>Averaging Period</w:t>
            </w:r>
          </w:p>
        </w:tc>
        <w:tc>
          <w:tcPr>
            <w:tcW w:w="1170" w:type="dxa"/>
            <w:tcBorders>
              <w:top w:val="nil"/>
              <w:bottom w:val="single" w:sz="12" w:space="0" w:color="auto"/>
              <w:right w:val="nil"/>
            </w:tcBorders>
            <w:vAlign w:val="center"/>
          </w:tcPr>
          <w:p w14:paraId="70628930" w14:textId="77777777" w:rsidR="006E7759" w:rsidRPr="00D6528B" w:rsidRDefault="006E7759" w:rsidP="00D6528B">
            <w:pPr>
              <w:jc w:val="center"/>
              <w:rPr>
                <w:b/>
                <w:sz w:val="24"/>
                <w:szCs w:val="24"/>
              </w:rPr>
            </w:pPr>
            <w:r w:rsidRPr="00D6528B">
              <w:rPr>
                <w:b/>
                <w:sz w:val="24"/>
                <w:szCs w:val="24"/>
              </w:rPr>
              <w:t>SIL (µg/m</w:t>
            </w:r>
            <w:r w:rsidRPr="00D6528B">
              <w:rPr>
                <w:b/>
                <w:sz w:val="24"/>
                <w:szCs w:val="24"/>
                <w:vertAlign w:val="superscript"/>
              </w:rPr>
              <w:t>3</w:t>
            </w:r>
            <w:r w:rsidRPr="00D6528B">
              <w:rPr>
                <w:b/>
                <w:sz w:val="24"/>
                <w:szCs w:val="24"/>
              </w:rPr>
              <w:t>)</w:t>
            </w:r>
          </w:p>
        </w:tc>
        <w:tc>
          <w:tcPr>
            <w:tcW w:w="2430" w:type="dxa"/>
            <w:tcBorders>
              <w:top w:val="nil"/>
              <w:bottom w:val="single" w:sz="12" w:space="0" w:color="auto"/>
              <w:right w:val="nil"/>
            </w:tcBorders>
            <w:vAlign w:val="center"/>
          </w:tcPr>
          <w:p w14:paraId="0F35FC90" w14:textId="77777777" w:rsidR="006E7759" w:rsidRPr="00D6528B" w:rsidRDefault="006E7759" w:rsidP="00D6528B">
            <w:pPr>
              <w:jc w:val="center"/>
              <w:rPr>
                <w:b/>
                <w:sz w:val="24"/>
                <w:szCs w:val="24"/>
              </w:rPr>
            </w:pPr>
            <w:r w:rsidRPr="00D6528B">
              <w:rPr>
                <w:b/>
                <w:sz w:val="24"/>
                <w:szCs w:val="24"/>
              </w:rPr>
              <w:t>Form</w:t>
            </w:r>
          </w:p>
        </w:tc>
        <w:tc>
          <w:tcPr>
            <w:tcW w:w="2430" w:type="dxa"/>
            <w:tcBorders>
              <w:top w:val="nil"/>
              <w:bottom w:val="single" w:sz="12" w:space="0" w:color="auto"/>
              <w:right w:val="single" w:sz="4" w:space="0" w:color="auto"/>
            </w:tcBorders>
            <w:vAlign w:val="center"/>
          </w:tcPr>
          <w:p w14:paraId="2526D92F" w14:textId="77777777" w:rsidR="006E7759" w:rsidRPr="00D6528B" w:rsidRDefault="006E7759" w:rsidP="00D6528B">
            <w:pPr>
              <w:jc w:val="center"/>
              <w:rPr>
                <w:b/>
                <w:sz w:val="24"/>
                <w:szCs w:val="24"/>
              </w:rPr>
            </w:pPr>
            <w:r w:rsidRPr="00D6528B">
              <w:rPr>
                <w:b/>
                <w:sz w:val="24"/>
                <w:szCs w:val="24"/>
              </w:rPr>
              <w:t>Reference</w:t>
            </w:r>
          </w:p>
        </w:tc>
      </w:tr>
      <w:tr w:rsidR="00B241C2" w:rsidRPr="00B70A0A" w14:paraId="3CE38571" w14:textId="77777777" w:rsidTr="00D6528B">
        <w:trPr>
          <w:cantSplit/>
          <w:jc w:val="center"/>
        </w:trPr>
        <w:tc>
          <w:tcPr>
            <w:tcW w:w="1296" w:type="dxa"/>
            <w:vMerge w:val="restart"/>
            <w:tcBorders>
              <w:top w:val="single" w:sz="12" w:space="0" w:color="auto"/>
              <w:left w:val="single" w:sz="4" w:space="0" w:color="auto"/>
            </w:tcBorders>
            <w:vAlign w:val="center"/>
          </w:tcPr>
          <w:p w14:paraId="2530C09B" w14:textId="77777777" w:rsidR="00B241C2" w:rsidRPr="00D6528B" w:rsidRDefault="00B241C2" w:rsidP="006E7759">
            <w:pPr>
              <w:jc w:val="center"/>
              <w:rPr>
                <w:sz w:val="24"/>
                <w:szCs w:val="24"/>
              </w:rPr>
            </w:pPr>
            <w:r w:rsidRPr="00D6528B">
              <w:rPr>
                <w:sz w:val="24"/>
                <w:szCs w:val="24"/>
              </w:rPr>
              <w:t>CO</w:t>
            </w:r>
          </w:p>
        </w:tc>
        <w:tc>
          <w:tcPr>
            <w:tcW w:w="1314" w:type="dxa"/>
            <w:tcBorders>
              <w:top w:val="single" w:sz="12" w:space="0" w:color="auto"/>
            </w:tcBorders>
            <w:vAlign w:val="center"/>
          </w:tcPr>
          <w:p w14:paraId="5A59BD25" w14:textId="77777777" w:rsidR="00B241C2" w:rsidRPr="00D6528B" w:rsidRDefault="00B241C2" w:rsidP="006E7759">
            <w:pPr>
              <w:rPr>
                <w:sz w:val="24"/>
                <w:szCs w:val="24"/>
              </w:rPr>
            </w:pPr>
            <w:r w:rsidRPr="00D6528B">
              <w:rPr>
                <w:sz w:val="24"/>
                <w:szCs w:val="24"/>
              </w:rPr>
              <w:t>1-hour</w:t>
            </w:r>
          </w:p>
        </w:tc>
        <w:tc>
          <w:tcPr>
            <w:tcW w:w="1170" w:type="dxa"/>
            <w:tcBorders>
              <w:top w:val="single" w:sz="12" w:space="0" w:color="auto"/>
              <w:right w:val="nil"/>
            </w:tcBorders>
            <w:vAlign w:val="center"/>
          </w:tcPr>
          <w:p w14:paraId="3FBA0F2E" w14:textId="77777777" w:rsidR="00B241C2" w:rsidRPr="00D6528B" w:rsidRDefault="00B241C2" w:rsidP="006E7759">
            <w:pPr>
              <w:jc w:val="center"/>
              <w:rPr>
                <w:sz w:val="24"/>
                <w:szCs w:val="24"/>
              </w:rPr>
            </w:pPr>
            <w:r w:rsidRPr="00D6528B">
              <w:rPr>
                <w:sz w:val="24"/>
                <w:szCs w:val="24"/>
              </w:rPr>
              <w:t>2,000</w:t>
            </w:r>
          </w:p>
        </w:tc>
        <w:tc>
          <w:tcPr>
            <w:tcW w:w="2430" w:type="dxa"/>
            <w:tcBorders>
              <w:top w:val="single" w:sz="12" w:space="0" w:color="auto"/>
              <w:right w:val="nil"/>
            </w:tcBorders>
            <w:vAlign w:val="center"/>
          </w:tcPr>
          <w:p w14:paraId="5FE53046" w14:textId="77777777" w:rsidR="00B241C2" w:rsidRPr="00D6528B" w:rsidRDefault="00B241C2" w:rsidP="00BF21A3">
            <w:pPr>
              <w:rPr>
                <w:sz w:val="24"/>
                <w:szCs w:val="24"/>
              </w:rPr>
            </w:pPr>
            <w:r w:rsidRPr="00D6528B">
              <w:rPr>
                <w:sz w:val="24"/>
                <w:szCs w:val="24"/>
              </w:rPr>
              <w:t xml:space="preserve">Highest modeled impact </w:t>
            </w:r>
          </w:p>
        </w:tc>
        <w:tc>
          <w:tcPr>
            <w:tcW w:w="2430" w:type="dxa"/>
            <w:tcBorders>
              <w:top w:val="single" w:sz="12" w:space="0" w:color="auto"/>
              <w:right w:val="single" w:sz="4" w:space="0" w:color="auto"/>
            </w:tcBorders>
          </w:tcPr>
          <w:p w14:paraId="7679E217" w14:textId="77777777" w:rsidR="00B241C2" w:rsidRPr="00D6528B" w:rsidRDefault="00B241C2">
            <w:pPr>
              <w:rPr>
                <w:sz w:val="24"/>
                <w:szCs w:val="24"/>
              </w:rPr>
            </w:pPr>
            <w:r w:rsidRPr="00D6528B">
              <w:rPr>
                <w:sz w:val="24"/>
                <w:szCs w:val="24"/>
              </w:rPr>
              <w:t>Title 129, Ch. 17</w:t>
            </w:r>
            <w:r w:rsidR="00884123">
              <w:rPr>
                <w:sz w:val="24"/>
                <w:szCs w:val="24"/>
              </w:rPr>
              <w:t>,</w:t>
            </w:r>
            <w:r w:rsidRPr="00D6528B">
              <w:rPr>
                <w:sz w:val="24"/>
                <w:szCs w:val="24"/>
              </w:rPr>
              <w:t xml:space="preserve"> </w:t>
            </w:r>
            <w:r w:rsidRPr="00D6528B">
              <w:rPr>
                <w:sz w:val="24"/>
                <w:szCs w:val="24"/>
                <w:u w:val="single"/>
              </w:rPr>
              <w:t>009</w:t>
            </w:r>
          </w:p>
        </w:tc>
      </w:tr>
      <w:tr w:rsidR="00B241C2" w:rsidRPr="00B70A0A" w14:paraId="547043F1" w14:textId="77777777" w:rsidTr="00D6528B">
        <w:trPr>
          <w:cantSplit/>
          <w:jc w:val="center"/>
        </w:trPr>
        <w:tc>
          <w:tcPr>
            <w:tcW w:w="1296" w:type="dxa"/>
            <w:vMerge/>
            <w:tcBorders>
              <w:left w:val="single" w:sz="4" w:space="0" w:color="auto"/>
            </w:tcBorders>
            <w:vAlign w:val="center"/>
          </w:tcPr>
          <w:p w14:paraId="7F8307E7" w14:textId="77777777" w:rsidR="00B241C2" w:rsidRPr="00D6528B" w:rsidRDefault="00B241C2" w:rsidP="006E7759">
            <w:pPr>
              <w:jc w:val="center"/>
              <w:rPr>
                <w:sz w:val="24"/>
                <w:szCs w:val="24"/>
              </w:rPr>
            </w:pPr>
          </w:p>
        </w:tc>
        <w:tc>
          <w:tcPr>
            <w:tcW w:w="1314" w:type="dxa"/>
            <w:vAlign w:val="center"/>
          </w:tcPr>
          <w:p w14:paraId="60D33089" w14:textId="77777777" w:rsidR="00B241C2" w:rsidRPr="00D6528B" w:rsidRDefault="00B241C2" w:rsidP="006E7759">
            <w:pPr>
              <w:rPr>
                <w:sz w:val="24"/>
                <w:szCs w:val="24"/>
              </w:rPr>
            </w:pPr>
            <w:r w:rsidRPr="00D6528B">
              <w:rPr>
                <w:sz w:val="24"/>
                <w:szCs w:val="24"/>
              </w:rPr>
              <w:t>8-hour</w:t>
            </w:r>
          </w:p>
        </w:tc>
        <w:tc>
          <w:tcPr>
            <w:tcW w:w="1170" w:type="dxa"/>
            <w:tcBorders>
              <w:bottom w:val="single" w:sz="4" w:space="0" w:color="auto"/>
              <w:right w:val="nil"/>
            </w:tcBorders>
            <w:vAlign w:val="center"/>
          </w:tcPr>
          <w:p w14:paraId="20F9EF48" w14:textId="77777777" w:rsidR="00B241C2" w:rsidRPr="00D6528B" w:rsidRDefault="00B241C2" w:rsidP="006E7759">
            <w:pPr>
              <w:jc w:val="center"/>
              <w:rPr>
                <w:sz w:val="24"/>
                <w:szCs w:val="24"/>
              </w:rPr>
            </w:pPr>
            <w:r w:rsidRPr="00D6528B">
              <w:rPr>
                <w:sz w:val="24"/>
                <w:szCs w:val="24"/>
              </w:rPr>
              <w:t>500</w:t>
            </w:r>
          </w:p>
        </w:tc>
        <w:tc>
          <w:tcPr>
            <w:tcW w:w="2430" w:type="dxa"/>
            <w:tcBorders>
              <w:bottom w:val="single" w:sz="4" w:space="0" w:color="auto"/>
              <w:right w:val="nil"/>
            </w:tcBorders>
            <w:vAlign w:val="center"/>
          </w:tcPr>
          <w:p w14:paraId="2F5D6C22" w14:textId="77777777" w:rsidR="00B241C2" w:rsidRPr="00D6528B" w:rsidRDefault="00B241C2" w:rsidP="00BF21A3">
            <w:pPr>
              <w:rPr>
                <w:sz w:val="24"/>
                <w:szCs w:val="24"/>
              </w:rPr>
            </w:pPr>
            <w:r w:rsidRPr="00D6528B">
              <w:rPr>
                <w:sz w:val="24"/>
                <w:szCs w:val="24"/>
              </w:rPr>
              <w:t>Highest modeled impact</w:t>
            </w:r>
          </w:p>
        </w:tc>
        <w:tc>
          <w:tcPr>
            <w:tcW w:w="2430" w:type="dxa"/>
            <w:tcBorders>
              <w:bottom w:val="single" w:sz="4" w:space="0" w:color="auto"/>
              <w:right w:val="single" w:sz="4" w:space="0" w:color="auto"/>
            </w:tcBorders>
          </w:tcPr>
          <w:p w14:paraId="2E0A1910" w14:textId="77777777" w:rsidR="00B241C2" w:rsidRPr="00D6528B" w:rsidRDefault="00884123" w:rsidP="006E7759">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B241C2" w:rsidRPr="00B70A0A" w14:paraId="7C248446" w14:textId="77777777" w:rsidTr="00D6528B">
        <w:trPr>
          <w:cantSplit/>
          <w:jc w:val="center"/>
        </w:trPr>
        <w:tc>
          <w:tcPr>
            <w:tcW w:w="1296" w:type="dxa"/>
            <w:vMerge w:val="restart"/>
            <w:tcBorders>
              <w:left w:val="single" w:sz="4" w:space="0" w:color="auto"/>
            </w:tcBorders>
            <w:vAlign w:val="center"/>
          </w:tcPr>
          <w:p w14:paraId="71EB592D" w14:textId="77777777" w:rsidR="00B241C2" w:rsidRPr="00D6528B" w:rsidRDefault="00B241C2" w:rsidP="006E7759">
            <w:pPr>
              <w:jc w:val="center"/>
              <w:rPr>
                <w:sz w:val="24"/>
                <w:szCs w:val="24"/>
              </w:rPr>
            </w:pPr>
            <w:r w:rsidRPr="00D6528B">
              <w:rPr>
                <w:sz w:val="24"/>
                <w:szCs w:val="24"/>
              </w:rPr>
              <w:t>NO</w:t>
            </w:r>
            <w:r w:rsidRPr="00D6528B">
              <w:rPr>
                <w:sz w:val="24"/>
                <w:szCs w:val="24"/>
                <w:vertAlign w:val="subscript"/>
              </w:rPr>
              <w:t>2</w:t>
            </w:r>
          </w:p>
        </w:tc>
        <w:tc>
          <w:tcPr>
            <w:tcW w:w="1314" w:type="dxa"/>
            <w:vAlign w:val="center"/>
          </w:tcPr>
          <w:p w14:paraId="6CC91160" w14:textId="77777777" w:rsidR="00B241C2" w:rsidRPr="00D6528B" w:rsidRDefault="00B241C2" w:rsidP="006E7759">
            <w:pPr>
              <w:rPr>
                <w:sz w:val="24"/>
                <w:szCs w:val="24"/>
              </w:rPr>
            </w:pPr>
            <w:r w:rsidRPr="00D6528B">
              <w:rPr>
                <w:sz w:val="24"/>
                <w:szCs w:val="24"/>
              </w:rPr>
              <w:t>1-hour</w:t>
            </w:r>
          </w:p>
        </w:tc>
        <w:tc>
          <w:tcPr>
            <w:tcW w:w="1170" w:type="dxa"/>
            <w:tcBorders>
              <w:right w:val="nil"/>
            </w:tcBorders>
            <w:vAlign w:val="center"/>
          </w:tcPr>
          <w:p w14:paraId="78AC7DCB" w14:textId="77777777" w:rsidR="00B241C2" w:rsidRPr="00D6528B" w:rsidRDefault="00B241C2" w:rsidP="006E7759">
            <w:pPr>
              <w:jc w:val="center"/>
              <w:rPr>
                <w:sz w:val="24"/>
                <w:szCs w:val="24"/>
              </w:rPr>
            </w:pPr>
            <w:r w:rsidRPr="00D6528B">
              <w:rPr>
                <w:sz w:val="24"/>
                <w:szCs w:val="24"/>
              </w:rPr>
              <w:t>7.5</w:t>
            </w:r>
          </w:p>
        </w:tc>
        <w:tc>
          <w:tcPr>
            <w:tcW w:w="2430" w:type="dxa"/>
            <w:tcBorders>
              <w:right w:val="nil"/>
            </w:tcBorders>
            <w:vAlign w:val="center"/>
          </w:tcPr>
          <w:p w14:paraId="0C62C092" w14:textId="77777777" w:rsidR="00B241C2" w:rsidRPr="00D6528B" w:rsidRDefault="00B241C2" w:rsidP="00BF21A3">
            <w:pPr>
              <w:autoSpaceDE w:val="0"/>
              <w:autoSpaceDN w:val="0"/>
              <w:adjustRightInd w:val="0"/>
              <w:rPr>
                <w:sz w:val="24"/>
                <w:szCs w:val="24"/>
                <w:highlight w:val="yellow"/>
              </w:rPr>
            </w:pPr>
            <w:r w:rsidRPr="00D6528B">
              <w:rPr>
                <w:sz w:val="24"/>
                <w:szCs w:val="24"/>
              </w:rPr>
              <w:t>Highest first high (H1H) concentration predicted each year at each receptor, averaged across five years</w:t>
            </w:r>
          </w:p>
        </w:tc>
        <w:tc>
          <w:tcPr>
            <w:tcW w:w="2430" w:type="dxa"/>
            <w:tcBorders>
              <w:right w:val="single" w:sz="4" w:space="0" w:color="auto"/>
            </w:tcBorders>
          </w:tcPr>
          <w:p w14:paraId="43826333" w14:textId="77777777" w:rsidR="00B241C2" w:rsidRPr="00D6528B" w:rsidRDefault="00971AA0" w:rsidP="00971AA0">
            <w:pPr>
              <w:autoSpaceDE w:val="0"/>
              <w:autoSpaceDN w:val="0"/>
              <w:adjustRightInd w:val="0"/>
              <w:rPr>
                <w:sz w:val="24"/>
                <w:szCs w:val="24"/>
              </w:rPr>
            </w:pPr>
            <w:r w:rsidRPr="00D6528B">
              <w:rPr>
                <w:sz w:val="24"/>
                <w:szCs w:val="24"/>
              </w:rPr>
              <w:t>U.S. EPA MCHM, M</w:t>
            </w:r>
            <w:r w:rsidR="00B241C2" w:rsidRPr="00D6528B">
              <w:rPr>
                <w:sz w:val="24"/>
                <w:szCs w:val="24"/>
              </w:rPr>
              <w:t xml:space="preserve">ar 01, 2011 </w:t>
            </w:r>
          </w:p>
        </w:tc>
      </w:tr>
      <w:tr w:rsidR="00B241C2" w:rsidRPr="00B70A0A" w14:paraId="0059F468" w14:textId="77777777" w:rsidTr="00D6528B">
        <w:trPr>
          <w:cantSplit/>
          <w:jc w:val="center"/>
        </w:trPr>
        <w:tc>
          <w:tcPr>
            <w:tcW w:w="1296" w:type="dxa"/>
            <w:vMerge/>
            <w:tcBorders>
              <w:left w:val="single" w:sz="4" w:space="0" w:color="auto"/>
            </w:tcBorders>
            <w:vAlign w:val="center"/>
          </w:tcPr>
          <w:p w14:paraId="1FF36F16" w14:textId="77777777" w:rsidR="00B241C2" w:rsidRPr="00D6528B" w:rsidRDefault="00B241C2" w:rsidP="006E7759">
            <w:pPr>
              <w:jc w:val="center"/>
              <w:rPr>
                <w:sz w:val="24"/>
                <w:szCs w:val="24"/>
              </w:rPr>
            </w:pPr>
          </w:p>
        </w:tc>
        <w:tc>
          <w:tcPr>
            <w:tcW w:w="1314" w:type="dxa"/>
            <w:vAlign w:val="center"/>
          </w:tcPr>
          <w:p w14:paraId="58F969FF" w14:textId="77777777" w:rsidR="00B241C2" w:rsidRPr="00D6528B" w:rsidRDefault="00B241C2" w:rsidP="006E7759">
            <w:pPr>
              <w:rPr>
                <w:sz w:val="24"/>
                <w:szCs w:val="24"/>
              </w:rPr>
            </w:pPr>
            <w:r w:rsidRPr="00D6528B">
              <w:rPr>
                <w:sz w:val="24"/>
                <w:szCs w:val="24"/>
              </w:rPr>
              <w:t>Annual</w:t>
            </w:r>
          </w:p>
        </w:tc>
        <w:tc>
          <w:tcPr>
            <w:tcW w:w="1170" w:type="dxa"/>
            <w:tcBorders>
              <w:right w:val="nil"/>
            </w:tcBorders>
            <w:vAlign w:val="center"/>
          </w:tcPr>
          <w:p w14:paraId="73642EA8" w14:textId="77777777" w:rsidR="00B241C2" w:rsidRPr="00D6528B" w:rsidRDefault="00B241C2" w:rsidP="006E7759">
            <w:pPr>
              <w:jc w:val="center"/>
              <w:rPr>
                <w:sz w:val="24"/>
                <w:szCs w:val="24"/>
              </w:rPr>
            </w:pPr>
            <w:r w:rsidRPr="00D6528B">
              <w:rPr>
                <w:sz w:val="24"/>
                <w:szCs w:val="24"/>
              </w:rPr>
              <w:t>1.0</w:t>
            </w:r>
          </w:p>
        </w:tc>
        <w:tc>
          <w:tcPr>
            <w:tcW w:w="2430" w:type="dxa"/>
            <w:tcBorders>
              <w:right w:val="nil"/>
            </w:tcBorders>
            <w:vAlign w:val="center"/>
          </w:tcPr>
          <w:p w14:paraId="655EC6C2" w14:textId="77777777" w:rsidR="00B241C2" w:rsidRPr="00D6528B" w:rsidRDefault="00B241C2" w:rsidP="00BF21A3">
            <w:pPr>
              <w:rPr>
                <w:sz w:val="24"/>
                <w:szCs w:val="24"/>
                <w:highlight w:val="yellow"/>
              </w:rPr>
            </w:pPr>
            <w:r w:rsidRPr="00D6528B">
              <w:rPr>
                <w:sz w:val="24"/>
                <w:szCs w:val="24"/>
              </w:rPr>
              <w:t xml:space="preserve">Highest modeled annual mean </w:t>
            </w:r>
          </w:p>
        </w:tc>
        <w:tc>
          <w:tcPr>
            <w:tcW w:w="2430" w:type="dxa"/>
            <w:tcBorders>
              <w:right w:val="single" w:sz="4" w:space="0" w:color="auto"/>
            </w:tcBorders>
          </w:tcPr>
          <w:p w14:paraId="7FFBF7AF" w14:textId="77777777" w:rsidR="00B241C2" w:rsidRPr="00D6528B" w:rsidRDefault="00884123" w:rsidP="006E7759">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1D0658" w:rsidRPr="00B70A0A" w14:paraId="2B48995F" w14:textId="77777777" w:rsidTr="00D6528B">
        <w:trPr>
          <w:cantSplit/>
          <w:jc w:val="center"/>
        </w:trPr>
        <w:tc>
          <w:tcPr>
            <w:tcW w:w="1296" w:type="dxa"/>
            <w:vMerge w:val="restart"/>
            <w:tcBorders>
              <w:left w:val="single" w:sz="4" w:space="0" w:color="auto"/>
            </w:tcBorders>
            <w:vAlign w:val="center"/>
          </w:tcPr>
          <w:p w14:paraId="1601E8C4" w14:textId="77777777" w:rsidR="001D0658" w:rsidRPr="00D6528B" w:rsidRDefault="001D0658" w:rsidP="006E7759">
            <w:pPr>
              <w:jc w:val="center"/>
              <w:rPr>
                <w:sz w:val="24"/>
                <w:szCs w:val="24"/>
              </w:rPr>
            </w:pPr>
            <w:r w:rsidRPr="00D6528B">
              <w:rPr>
                <w:sz w:val="24"/>
                <w:szCs w:val="24"/>
              </w:rPr>
              <w:t>SO</w:t>
            </w:r>
            <w:r w:rsidRPr="00D6528B">
              <w:rPr>
                <w:sz w:val="24"/>
                <w:szCs w:val="24"/>
                <w:vertAlign w:val="subscript"/>
              </w:rPr>
              <w:t>2</w:t>
            </w:r>
            <w:r w:rsidRPr="00D6528B">
              <w:rPr>
                <w:sz w:val="24"/>
                <w:szCs w:val="24"/>
              </w:rPr>
              <w:t xml:space="preserve"> </w:t>
            </w:r>
          </w:p>
          <w:p w14:paraId="624B5668" w14:textId="77777777" w:rsidR="001D0658" w:rsidRPr="00D6528B" w:rsidRDefault="001D0658" w:rsidP="007F3DB9">
            <w:pPr>
              <w:jc w:val="center"/>
              <w:rPr>
                <w:sz w:val="24"/>
                <w:szCs w:val="24"/>
              </w:rPr>
            </w:pPr>
            <w:r w:rsidRPr="00D6528B">
              <w:rPr>
                <w:sz w:val="24"/>
                <w:szCs w:val="24"/>
              </w:rPr>
              <w:t xml:space="preserve"> </w:t>
            </w:r>
          </w:p>
        </w:tc>
        <w:tc>
          <w:tcPr>
            <w:tcW w:w="1314" w:type="dxa"/>
            <w:vAlign w:val="center"/>
          </w:tcPr>
          <w:p w14:paraId="7F3ECC9E" w14:textId="77777777" w:rsidR="001D0658" w:rsidRPr="00D6528B" w:rsidRDefault="001D0658" w:rsidP="006E7759">
            <w:pPr>
              <w:rPr>
                <w:sz w:val="24"/>
                <w:szCs w:val="24"/>
              </w:rPr>
            </w:pPr>
            <w:r w:rsidRPr="00D6528B">
              <w:rPr>
                <w:sz w:val="24"/>
                <w:szCs w:val="24"/>
              </w:rPr>
              <w:t>1-hour</w:t>
            </w:r>
          </w:p>
        </w:tc>
        <w:tc>
          <w:tcPr>
            <w:tcW w:w="1170" w:type="dxa"/>
            <w:tcBorders>
              <w:right w:val="nil"/>
            </w:tcBorders>
            <w:vAlign w:val="center"/>
          </w:tcPr>
          <w:p w14:paraId="273CD0F2" w14:textId="77777777" w:rsidR="001D0658" w:rsidRPr="00D6528B" w:rsidRDefault="001D0658" w:rsidP="006E7759">
            <w:pPr>
              <w:jc w:val="center"/>
              <w:rPr>
                <w:sz w:val="24"/>
                <w:szCs w:val="24"/>
              </w:rPr>
            </w:pPr>
            <w:r w:rsidRPr="00D6528B">
              <w:rPr>
                <w:sz w:val="24"/>
                <w:szCs w:val="24"/>
              </w:rPr>
              <w:t>7.9</w:t>
            </w:r>
          </w:p>
        </w:tc>
        <w:tc>
          <w:tcPr>
            <w:tcW w:w="2430" w:type="dxa"/>
            <w:tcBorders>
              <w:right w:val="nil"/>
            </w:tcBorders>
            <w:vAlign w:val="center"/>
          </w:tcPr>
          <w:p w14:paraId="63289E04" w14:textId="77777777" w:rsidR="001D0658" w:rsidRPr="00D6528B" w:rsidRDefault="001D0658" w:rsidP="00BF21A3">
            <w:pPr>
              <w:autoSpaceDE w:val="0"/>
              <w:autoSpaceDN w:val="0"/>
              <w:adjustRightInd w:val="0"/>
              <w:rPr>
                <w:sz w:val="24"/>
                <w:szCs w:val="24"/>
              </w:rPr>
            </w:pPr>
            <w:r w:rsidRPr="00D6528B">
              <w:rPr>
                <w:sz w:val="24"/>
                <w:szCs w:val="24"/>
              </w:rPr>
              <w:t>Highest first high (H1H) concentration predicted each year at each receptor, averaged across five years</w:t>
            </w:r>
          </w:p>
        </w:tc>
        <w:tc>
          <w:tcPr>
            <w:tcW w:w="2430" w:type="dxa"/>
            <w:tcBorders>
              <w:right w:val="single" w:sz="4" w:space="0" w:color="auto"/>
            </w:tcBorders>
          </w:tcPr>
          <w:p w14:paraId="2842F1F2" w14:textId="77777777" w:rsidR="001D0658" w:rsidRPr="00D6528B" w:rsidRDefault="001D0658" w:rsidP="00971AA0">
            <w:pPr>
              <w:autoSpaceDE w:val="0"/>
              <w:autoSpaceDN w:val="0"/>
              <w:adjustRightInd w:val="0"/>
              <w:rPr>
                <w:sz w:val="24"/>
                <w:szCs w:val="24"/>
              </w:rPr>
            </w:pPr>
            <w:r w:rsidRPr="00D6528B">
              <w:rPr>
                <w:sz w:val="24"/>
                <w:szCs w:val="24"/>
              </w:rPr>
              <w:t xml:space="preserve">U.S. EPA MCHM, Aug 23, 2010 </w:t>
            </w:r>
          </w:p>
        </w:tc>
      </w:tr>
      <w:tr w:rsidR="001D0658" w:rsidRPr="00B70A0A" w14:paraId="681F6142" w14:textId="77777777" w:rsidTr="00D6528B">
        <w:trPr>
          <w:cantSplit/>
          <w:jc w:val="center"/>
        </w:trPr>
        <w:tc>
          <w:tcPr>
            <w:tcW w:w="1296" w:type="dxa"/>
            <w:vMerge/>
            <w:tcBorders>
              <w:left w:val="single" w:sz="4" w:space="0" w:color="auto"/>
            </w:tcBorders>
            <w:vAlign w:val="center"/>
          </w:tcPr>
          <w:p w14:paraId="1B309DCB" w14:textId="77777777" w:rsidR="001D0658" w:rsidRPr="00D6528B" w:rsidRDefault="001D0658" w:rsidP="006E7759">
            <w:pPr>
              <w:jc w:val="center"/>
              <w:rPr>
                <w:sz w:val="24"/>
                <w:szCs w:val="24"/>
              </w:rPr>
            </w:pPr>
          </w:p>
        </w:tc>
        <w:tc>
          <w:tcPr>
            <w:tcW w:w="1314" w:type="dxa"/>
            <w:vAlign w:val="center"/>
          </w:tcPr>
          <w:p w14:paraId="332224C7" w14:textId="77777777" w:rsidR="001D0658" w:rsidRPr="00D6528B" w:rsidRDefault="001D0658" w:rsidP="00CF7E50">
            <w:pPr>
              <w:rPr>
                <w:sz w:val="24"/>
                <w:szCs w:val="24"/>
              </w:rPr>
            </w:pPr>
            <w:r w:rsidRPr="00D6528B">
              <w:rPr>
                <w:sz w:val="24"/>
                <w:szCs w:val="24"/>
              </w:rPr>
              <w:t>3-hour Secondary Std</w:t>
            </w:r>
          </w:p>
        </w:tc>
        <w:tc>
          <w:tcPr>
            <w:tcW w:w="1170" w:type="dxa"/>
            <w:tcBorders>
              <w:right w:val="nil"/>
            </w:tcBorders>
            <w:vAlign w:val="center"/>
          </w:tcPr>
          <w:p w14:paraId="3FE9AA54" w14:textId="77777777" w:rsidR="001D0658" w:rsidRPr="00D6528B" w:rsidRDefault="001D0658" w:rsidP="006E7759">
            <w:pPr>
              <w:jc w:val="center"/>
              <w:rPr>
                <w:sz w:val="24"/>
                <w:szCs w:val="24"/>
              </w:rPr>
            </w:pPr>
            <w:r w:rsidRPr="00D6528B">
              <w:rPr>
                <w:sz w:val="24"/>
                <w:szCs w:val="24"/>
              </w:rPr>
              <w:t>25</w:t>
            </w:r>
          </w:p>
        </w:tc>
        <w:tc>
          <w:tcPr>
            <w:tcW w:w="2430" w:type="dxa"/>
            <w:tcBorders>
              <w:right w:val="nil"/>
            </w:tcBorders>
            <w:vAlign w:val="center"/>
          </w:tcPr>
          <w:p w14:paraId="02382FA9" w14:textId="77777777" w:rsidR="001D0658" w:rsidRPr="00D6528B" w:rsidRDefault="001D0658" w:rsidP="00BF21A3">
            <w:pPr>
              <w:rPr>
                <w:sz w:val="24"/>
                <w:szCs w:val="24"/>
              </w:rPr>
            </w:pPr>
            <w:r w:rsidRPr="00D6528B">
              <w:rPr>
                <w:sz w:val="24"/>
                <w:szCs w:val="24"/>
              </w:rPr>
              <w:t>Highest modeled impact</w:t>
            </w:r>
          </w:p>
        </w:tc>
        <w:tc>
          <w:tcPr>
            <w:tcW w:w="2430" w:type="dxa"/>
            <w:tcBorders>
              <w:right w:val="single" w:sz="4" w:space="0" w:color="auto"/>
            </w:tcBorders>
          </w:tcPr>
          <w:p w14:paraId="40892363" w14:textId="77777777" w:rsidR="001D0658" w:rsidRPr="00D6528B" w:rsidRDefault="00884123" w:rsidP="006E7759">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B241C2" w:rsidRPr="00B70A0A" w14:paraId="2A142336" w14:textId="77777777" w:rsidTr="00D6528B">
        <w:trPr>
          <w:cantSplit/>
          <w:jc w:val="center"/>
        </w:trPr>
        <w:tc>
          <w:tcPr>
            <w:tcW w:w="1296" w:type="dxa"/>
            <w:tcBorders>
              <w:left w:val="single" w:sz="4" w:space="0" w:color="auto"/>
            </w:tcBorders>
            <w:vAlign w:val="center"/>
          </w:tcPr>
          <w:p w14:paraId="16E31F15" w14:textId="77777777" w:rsidR="00B241C2" w:rsidRPr="00D6528B" w:rsidRDefault="00B241C2" w:rsidP="006E7759">
            <w:pPr>
              <w:jc w:val="center"/>
              <w:rPr>
                <w:sz w:val="24"/>
                <w:szCs w:val="24"/>
              </w:rPr>
            </w:pPr>
            <w:r w:rsidRPr="00D6528B">
              <w:rPr>
                <w:sz w:val="24"/>
                <w:szCs w:val="24"/>
              </w:rPr>
              <w:t>PM</w:t>
            </w:r>
            <w:r w:rsidRPr="00D6528B">
              <w:rPr>
                <w:sz w:val="24"/>
                <w:szCs w:val="24"/>
                <w:vertAlign w:val="subscript"/>
              </w:rPr>
              <w:t>10</w:t>
            </w:r>
          </w:p>
        </w:tc>
        <w:tc>
          <w:tcPr>
            <w:tcW w:w="1314" w:type="dxa"/>
            <w:vAlign w:val="center"/>
          </w:tcPr>
          <w:p w14:paraId="222C3702" w14:textId="77777777" w:rsidR="00B241C2" w:rsidRPr="00D6528B" w:rsidRDefault="00B241C2" w:rsidP="006E7759">
            <w:pPr>
              <w:rPr>
                <w:sz w:val="24"/>
                <w:szCs w:val="24"/>
              </w:rPr>
            </w:pPr>
            <w:r w:rsidRPr="00D6528B">
              <w:rPr>
                <w:sz w:val="24"/>
                <w:szCs w:val="24"/>
              </w:rPr>
              <w:t>24-hour</w:t>
            </w:r>
          </w:p>
        </w:tc>
        <w:tc>
          <w:tcPr>
            <w:tcW w:w="1170" w:type="dxa"/>
            <w:tcBorders>
              <w:right w:val="nil"/>
            </w:tcBorders>
            <w:vAlign w:val="center"/>
          </w:tcPr>
          <w:p w14:paraId="1546FB0E" w14:textId="77777777" w:rsidR="00B241C2" w:rsidRPr="00D6528B" w:rsidRDefault="00B241C2" w:rsidP="006E7759">
            <w:pPr>
              <w:jc w:val="center"/>
              <w:rPr>
                <w:sz w:val="24"/>
                <w:szCs w:val="24"/>
              </w:rPr>
            </w:pPr>
            <w:r w:rsidRPr="00D6528B">
              <w:rPr>
                <w:sz w:val="24"/>
                <w:szCs w:val="24"/>
              </w:rPr>
              <w:t>5</w:t>
            </w:r>
          </w:p>
        </w:tc>
        <w:tc>
          <w:tcPr>
            <w:tcW w:w="2430" w:type="dxa"/>
            <w:tcBorders>
              <w:right w:val="nil"/>
            </w:tcBorders>
            <w:vAlign w:val="center"/>
          </w:tcPr>
          <w:p w14:paraId="5F1A0BD2" w14:textId="77777777" w:rsidR="00B241C2" w:rsidRPr="00D6528B" w:rsidRDefault="00B241C2" w:rsidP="00BF21A3">
            <w:pPr>
              <w:rPr>
                <w:sz w:val="24"/>
                <w:szCs w:val="24"/>
              </w:rPr>
            </w:pPr>
            <w:r w:rsidRPr="00D6528B">
              <w:rPr>
                <w:sz w:val="24"/>
                <w:szCs w:val="24"/>
              </w:rPr>
              <w:t>Highest modeled impact</w:t>
            </w:r>
          </w:p>
        </w:tc>
        <w:tc>
          <w:tcPr>
            <w:tcW w:w="2430" w:type="dxa"/>
            <w:tcBorders>
              <w:right w:val="single" w:sz="4" w:space="0" w:color="auto"/>
            </w:tcBorders>
          </w:tcPr>
          <w:p w14:paraId="054458ED" w14:textId="77777777" w:rsidR="00B241C2" w:rsidRPr="00D6528B" w:rsidRDefault="00884123" w:rsidP="006E7759">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1D0658" w:rsidRPr="00B70A0A" w14:paraId="3572441E" w14:textId="77777777" w:rsidTr="00D6528B">
        <w:trPr>
          <w:cantSplit/>
          <w:jc w:val="center"/>
        </w:trPr>
        <w:tc>
          <w:tcPr>
            <w:tcW w:w="1296" w:type="dxa"/>
            <w:vMerge w:val="restart"/>
            <w:tcBorders>
              <w:left w:val="single" w:sz="4" w:space="0" w:color="auto"/>
            </w:tcBorders>
            <w:vAlign w:val="center"/>
          </w:tcPr>
          <w:p w14:paraId="6197A169" w14:textId="77777777" w:rsidR="001D0658" w:rsidRPr="00D6528B" w:rsidRDefault="001D0658" w:rsidP="006E7759">
            <w:pPr>
              <w:jc w:val="center"/>
              <w:rPr>
                <w:sz w:val="24"/>
                <w:szCs w:val="24"/>
              </w:rPr>
            </w:pPr>
            <w:r w:rsidRPr="00D6528B">
              <w:rPr>
                <w:sz w:val="24"/>
                <w:szCs w:val="24"/>
              </w:rPr>
              <w:t>PM</w:t>
            </w:r>
            <w:r w:rsidRPr="00D6528B">
              <w:rPr>
                <w:sz w:val="24"/>
                <w:szCs w:val="24"/>
                <w:vertAlign w:val="subscript"/>
              </w:rPr>
              <w:t>2.5</w:t>
            </w:r>
          </w:p>
        </w:tc>
        <w:tc>
          <w:tcPr>
            <w:tcW w:w="1314" w:type="dxa"/>
            <w:vAlign w:val="center"/>
          </w:tcPr>
          <w:p w14:paraId="11182E56" w14:textId="77777777" w:rsidR="001D0658" w:rsidRPr="00D6528B" w:rsidRDefault="001D0658" w:rsidP="006E7759">
            <w:pPr>
              <w:rPr>
                <w:sz w:val="24"/>
                <w:szCs w:val="24"/>
              </w:rPr>
            </w:pPr>
            <w:r w:rsidRPr="00D6528B">
              <w:rPr>
                <w:sz w:val="24"/>
                <w:szCs w:val="24"/>
              </w:rPr>
              <w:t>24-hour</w:t>
            </w:r>
          </w:p>
        </w:tc>
        <w:tc>
          <w:tcPr>
            <w:tcW w:w="1170" w:type="dxa"/>
            <w:tcBorders>
              <w:right w:val="nil"/>
            </w:tcBorders>
            <w:vAlign w:val="center"/>
          </w:tcPr>
          <w:p w14:paraId="67B65003" w14:textId="77777777" w:rsidR="001D0658" w:rsidRPr="00D6528B" w:rsidRDefault="001D0658" w:rsidP="006E7759">
            <w:pPr>
              <w:jc w:val="center"/>
              <w:rPr>
                <w:sz w:val="24"/>
                <w:szCs w:val="24"/>
              </w:rPr>
            </w:pPr>
            <w:r w:rsidRPr="00D6528B">
              <w:rPr>
                <w:sz w:val="24"/>
                <w:szCs w:val="24"/>
              </w:rPr>
              <w:t>1.2</w:t>
            </w:r>
          </w:p>
        </w:tc>
        <w:tc>
          <w:tcPr>
            <w:tcW w:w="2430" w:type="dxa"/>
            <w:tcBorders>
              <w:right w:val="nil"/>
            </w:tcBorders>
            <w:vAlign w:val="center"/>
          </w:tcPr>
          <w:p w14:paraId="58287AD3" w14:textId="77777777" w:rsidR="001D0658" w:rsidRPr="00D6528B" w:rsidRDefault="001D0658" w:rsidP="00BF21A3">
            <w:pPr>
              <w:rPr>
                <w:sz w:val="24"/>
                <w:szCs w:val="24"/>
                <w:highlight w:val="yellow"/>
              </w:rPr>
            </w:pPr>
            <w:r w:rsidRPr="00D6528B">
              <w:rPr>
                <w:sz w:val="24"/>
                <w:szCs w:val="24"/>
              </w:rPr>
              <w:t>Highest modeled impact averaged across 5-years</w:t>
            </w:r>
          </w:p>
        </w:tc>
        <w:tc>
          <w:tcPr>
            <w:tcW w:w="2430" w:type="dxa"/>
            <w:tcBorders>
              <w:right w:val="single" w:sz="4" w:space="0" w:color="auto"/>
            </w:tcBorders>
          </w:tcPr>
          <w:p w14:paraId="23FCD489" w14:textId="77777777" w:rsidR="001D0658" w:rsidRPr="00D6528B" w:rsidRDefault="00884123">
            <w:pPr>
              <w:rPr>
                <w:sz w:val="24"/>
                <w:szCs w:val="24"/>
              </w:rPr>
            </w:pPr>
            <w:r w:rsidRPr="00736F30">
              <w:rPr>
                <w:sz w:val="24"/>
                <w:szCs w:val="24"/>
              </w:rPr>
              <w:t>Title 129, Ch. 17</w:t>
            </w:r>
            <w:r>
              <w:rPr>
                <w:sz w:val="24"/>
                <w:szCs w:val="24"/>
              </w:rPr>
              <w:t>,</w:t>
            </w:r>
            <w:r w:rsidRPr="00736F30">
              <w:rPr>
                <w:sz w:val="24"/>
                <w:szCs w:val="24"/>
              </w:rPr>
              <w:t xml:space="preserve"> </w:t>
            </w:r>
            <w:r w:rsidR="001D0658" w:rsidRPr="00D6528B">
              <w:rPr>
                <w:sz w:val="24"/>
                <w:szCs w:val="24"/>
                <w:u w:val="single"/>
              </w:rPr>
              <w:t>018.02A</w:t>
            </w:r>
            <w:r w:rsidR="001D0658" w:rsidRPr="00D6528B">
              <w:rPr>
                <w:sz w:val="24"/>
                <w:szCs w:val="24"/>
              </w:rPr>
              <w:t xml:space="preserve"> &amp; </w:t>
            </w:r>
            <w:r w:rsidRPr="00736F30">
              <w:rPr>
                <w:sz w:val="24"/>
                <w:szCs w:val="24"/>
                <w:u w:val="single"/>
              </w:rPr>
              <w:t>018.02</w:t>
            </w:r>
            <w:r>
              <w:rPr>
                <w:sz w:val="24"/>
                <w:szCs w:val="24"/>
                <w:u w:val="single"/>
              </w:rPr>
              <w:t>B</w:t>
            </w:r>
          </w:p>
        </w:tc>
      </w:tr>
      <w:tr w:rsidR="001D0658" w:rsidRPr="00B70A0A" w14:paraId="0DF6CFD9" w14:textId="77777777" w:rsidTr="00D6528B">
        <w:trPr>
          <w:cantSplit/>
          <w:jc w:val="center"/>
        </w:trPr>
        <w:tc>
          <w:tcPr>
            <w:tcW w:w="1296" w:type="dxa"/>
            <w:vMerge/>
            <w:tcBorders>
              <w:left w:val="single" w:sz="4" w:space="0" w:color="auto"/>
            </w:tcBorders>
            <w:vAlign w:val="center"/>
          </w:tcPr>
          <w:p w14:paraId="7BABFD26" w14:textId="77777777" w:rsidR="001D0658" w:rsidRPr="00D6528B" w:rsidRDefault="001D0658" w:rsidP="006E7759">
            <w:pPr>
              <w:jc w:val="center"/>
              <w:rPr>
                <w:sz w:val="24"/>
                <w:szCs w:val="24"/>
              </w:rPr>
            </w:pPr>
          </w:p>
        </w:tc>
        <w:tc>
          <w:tcPr>
            <w:tcW w:w="1314" w:type="dxa"/>
            <w:vAlign w:val="center"/>
          </w:tcPr>
          <w:p w14:paraId="101B9B3C" w14:textId="77777777" w:rsidR="001D0658" w:rsidRPr="00D6528B" w:rsidRDefault="001D0658" w:rsidP="006E7759">
            <w:pPr>
              <w:rPr>
                <w:sz w:val="24"/>
                <w:szCs w:val="24"/>
              </w:rPr>
            </w:pPr>
            <w:r w:rsidRPr="00D6528B">
              <w:rPr>
                <w:sz w:val="24"/>
                <w:szCs w:val="24"/>
              </w:rPr>
              <w:t>Annual</w:t>
            </w:r>
          </w:p>
        </w:tc>
        <w:tc>
          <w:tcPr>
            <w:tcW w:w="1170" w:type="dxa"/>
            <w:tcBorders>
              <w:right w:val="nil"/>
            </w:tcBorders>
            <w:vAlign w:val="center"/>
          </w:tcPr>
          <w:p w14:paraId="0E1F0D2A" w14:textId="77777777" w:rsidR="001D0658" w:rsidRPr="00D6528B" w:rsidRDefault="001D0658" w:rsidP="006E7759">
            <w:pPr>
              <w:jc w:val="center"/>
              <w:rPr>
                <w:sz w:val="24"/>
                <w:szCs w:val="24"/>
              </w:rPr>
            </w:pPr>
            <w:r w:rsidRPr="00D6528B">
              <w:rPr>
                <w:sz w:val="24"/>
                <w:szCs w:val="24"/>
              </w:rPr>
              <w:t>0.3</w:t>
            </w:r>
          </w:p>
        </w:tc>
        <w:tc>
          <w:tcPr>
            <w:tcW w:w="2430" w:type="dxa"/>
            <w:tcBorders>
              <w:right w:val="nil"/>
            </w:tcBorders>
            <w:vAlign w:val="center"/>
          </w:tcPr>
          <w:p w14:paraId="5848B8DB" w14:textId="77777777" w:rsidR="001D0658" w:rsidRPr="00D6528B" w:rsidRDefault="001D0658" w:rsidP="00BF21A3">
            <w:pPr>
              <w:rPr>
                <w:sz w:val="24"/>
                <w:szCs w:val="24"/>
              </w:rPr>
            </w:pPr>
            <w:r w:rsidRPr="00D6528B">
              <w:rPr>
                <w:sz w:val="24"/>
                <w:szCs w:val="24"/>
              </w:rPr>
              <w:t>Highest modeled annual mean averaged across 5-years</w:t>
            </w:r>
          </w:p>
        </w:tc>
        <w:tc>
          <w:tcPr>
            <w:tcW w:w="2430" w:type="dxa"/>
            <w:tcBorders>
              <w:right w:val="single" w:sz="4" w:space="0" w:color="auto"/>
            </w:tcBorders>
          </w:tcPr>
          <w:p w14:paraId="78E89707" w14:textId="77777777" w:rsidR="001D0658" w:rsidRPr="00D6528B" w:rsidRDefault="00884123" w:rsidP="006E7759">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B241C2" w:rsidRPr="00B70A0A" w14:paraId="609A68A0" w14:textId="77777777" w:rsidTr="00D6528B">
        <w:trPr>
          <w:cantSplit/>
          <w:jc w:val="center"/>
        </w:trPr>
        <w:tc>
          <w:tcPr>
            <w:tcW w:w="1296" w:type="dxa"/>
            <w:tcBorders>
              <w:left w:val="single" w:sz="4" w:space="0" w:color="auto"/>
            </w:tcBorders>
          </w:tcPr>
          <w:p w14:paraId="50906550" w14:textId="77777777" w:rsidR="00B241C2" w:rsidRPr="00D6528B" w:rsidRDefault="00B241C2" w:rsidP="00BF21A3">
            <w:pPr>
              <w:jc w:val="center"/>
              <w:rPr>
                <w:sz w:val="24"/>
                <w:szCs w:val="24"/>
              </w:rPr>
            </w:pPr>
            <w:r w:rsidRPr="00D6528B">
              <w:rPr>
                <w:sz w:val="24"/>
                <w:szCs w:val="24"/>
              </w:rPr>
              <w:t>Total Reduced Sulfur (including H</w:t>
            </w:r>
            <w:r w:rsidRPr="00D6528B">
              <w:rPr>
                <w:sz w:val="24"/>
                <w:szCs w:val="24"/>
                <w:vertAlign w:val="subscript"/>
              </w:rPr>
              <w:t>2</w:t>
            </w:r>
            <w:r w:rsidRPr="00D6528B">
              <w:rPr>
                <w:sz w:val="24"/>
                <w:szCs w:val="24"/>
              </w:rPr>
              <w:t>S)</w:t>
            </w:r>
          </w:p>
        </w:tc>
        <w:tc>
          <w:tcPr>
            <w:tcW w:w="1314" w:type="dxa"/>
            <w:vAlign w:val="center"/>
          </w:tcPr>
          <w:p w14:paraId="4E8B91B7" w14:textId="77777777" w:rsidR="00B241C2" w:rsidRPr="00D6528B" w:rsidRDefault="00B241C2" w:rsidP="00BF21A3">
            <w:pPr>
              <w:rPr>
                <w:sz w:val="24"/>
                <w:szCs w:val="24"/>
              </w:rPr>
            </w:pPr>
            <w:r w:rsidRPr="00D6528B">
              <w:rPr>
                <w:sz w:val="24"/>
                <w:szCs w:val="24"/>
              </w:rPr>
              <w:t>30-minute</w:t>
            </w:r>
          </w:p>
        </w:tc>
        <w:tc>
          <w:tcPr>
            <w:tcW w:w="1170" w:type="dxa"/>
            <w:tcBorders>
              <w:right w:val="nil"/>
            </w:tcBorders>
            <w:vAlign w:val="center"/>
          </w:tcPr>
          <w:p w14:paraId="5B6209A6" w14:textId="77777777" w:rsidR="00B241C2" w:rsidRPr="00D6528B" w:rsidRDefault="00B241C2" w:rsidP="00BF21A3">
            <w:pPr>
              <w:jc w:val="center"/>
              <w:rPr>
                <w:sz w:val="24"/>
                <w:szCs w:val="24"/>
              </w:rPr>
            </w:pPr>
            <w:r w:rsidRPr="00D6528B">
              <w:rPr>
                <w:sz w:val="24"/>
                <w:szCs w:val="24"/>
              </w:rPr>
              <w:t xml:space="preserve">0.005 </w:t>
            </w:r>
            <w:r w:rsidRPr="00D6528B">
              <w:rPr>
                <w:b/>
                <w:sz w:val="24"/>
                <w:szCs w:val="24"/>
              </w:rPr>
              <w:t>ppm</w:t>
            </w:r>
          </w:p>
        </w:tc>
        <w:tc>
          <w:tcPr>
            <w:tcW w:w="2430" w:type="dxa"/>
            <w:tcBorders>
              <w:right w:val="nil"/>
            </w:tcBorders>
            <w:vAlign w:val="center"/>
          </w:tcPr>
          <w:p w14:paraId="5B18FBEC" w14:textId="77777777" w:rsidR="00B241C2" w:rsidRPr="00D6528B" w:rsidRDefault="00B241C2" w:rsidP="00D37BE1">
            <w:pPr>
              <w:rPr>
                <w:sz w:val="24"/>
                <w:szCs w:val="24"/>
              </w:rPr>
            </w:pPr>
            <w:r w:rsidRPr="00D6528B">
              <w:rPr>
                <w:sz w:val="24"/>
                <w:szCs w:val="24"/>
              </w:rPr>
              <w:t xml:space="preserve">Highest modeled impact </w:t>
            </w:r>
          </w:p>
        </w:tc>
        <w:tc>
          <w:tcPr>
            <w:tcW w:w="2430" w:type="dxa"/>
            <w:tcBorders>
              <w:right w:val="single" w:sz="4" w:space="0" w:color="auto"/>
            </w:tcBorders>
          </w:tcPr>
          <w:p w14:paraId="688565AC" w14:textId="77777777" w:rsidR="00B241C2" w:rsidRPr="00D6528B" w:rsidRDefault="00B241C2" w:rsidP="00AE0CAA">
            <w:pPr>
              <w:rPr>
                <w:color w:val="FF0000"/>
                <w:sz w:val="24"/>
                <w:szCs w:val="24"/>
              </w:rPr>
            </w:pPr>
          </w:p>
        </w:tc>
      </w:tr>
    </w:tbl>
    <w:p w14:paraId="1EACA69B" w14:textId="77777777" w:rsidR="00971AA0" w:rsidRPr="00D6528B" w:rsidRDefault="00971AA0" w:rsidP="00971AA0">
      <w:pPr>
        <w:contextualSpacing/>
        <w:rPr>
          <w:sz w:val="24"/>
          <w:szCs w:val="24"/>
        </w:rPr>
      </w:pPr>
    </w:p>
    <w:p w14:paraId="60805209" w14:textId="77777777" w:rsidR="00971AA0" w:rsidRPr="00B820E9" w:rsidRDefault="00971AA0" w:rsidP="00971AA0">
      <w:pPr>
        <w:contextualSpacing/>
        <w:rPr>
          <w:sz w:val="24"/>
          <w:szCs w:val="24"/>
        </w:rPr>
      </w:pPr>
      <w:r w:rsidRPr="00D6528B">
        <w:rPr>
          <w:sz w:val="24"/>
          <w:szCs w:val="24"/>
        </w:rPr>
        <w:t>If a SIL analysis indicates a cumulative impact analysis is required, the facility can work with the NDEQ to determine if reasonable changes could appropriately limit the ambient air impacts.  Reasonable changes may include reducing emissions, reducing operating hours, increasing stack heights, or increasing stack airflows as long as the changes and limitations conform to the restrictions found in 40CFR 51.100</w:t>
      </w:r>
      <w:r w:rsidR="00B820E9">
        <w:rPr>
          <w:sz w:val="24"/>
          <w:szCs w:val="24"/>
        </w:rPr>
        <w:t>(</w:t>
      </w:r>
      <w:proofErr w:type="spellStart"/>
      <w:r w:rsidR="00B820E9">
        <w:rPr>
          <w:sz w:val="24"/>
          <w:szCs w:val="24"/>
        </w:rPr>
        <w:t>hh</w:t>
      </w:r>
      <w:proofErr w:type="spellEnd"/>
      <w:r w:rsidR="00B820E9">
        <w:rPr>
          <w:sz w:val="24"/>
          <w:szCs w:val="24"/>
        </w:rPr>
        <w:t>)</w:t>
      </w:r>
      <w:r w:rsidR="00884123">
        <w:rPr>
          <w:sz w:val="24"/>
          <w:szCs w:val="24"/>
        </w:rPr>
        <w:t xml:space="preserve"> and </w:t>
      </w:r>
      <w:r w:rsidR="007F7F76">
        <w:rPr>
          <w:sz w:val="24"/>
          <w:szCs w:val="24"/>
        </w:rPr>
        <w:t xml:space="preserve">included as a </w:t>
      </w:r>
      <w:r w:rsidR="00B820E9">
        <w:rPr>
          <w:sz w:val="24"/>
          <w:szCs w:val="24"/>
        </w:rPr>
        <w:t xml:space="preserve"> federally </w:t>
      </w:r>
      <w:r w:rsidR="00884123">
        <w:rPr>
          <w:sz w:val="24"/>
          <w:szCs w:val="24"/>
        </w:rPr>
        <w:t>enfo</w:t>
      </w:r>
      <w:r w:rsidR="007F7F76">
        <w:rPr>
          <w:sz w:val="24"/>
          <w:szCs w:val="24"/>
        </w:rPr>
        <w:t>r</w:t>
      </w:r>
      <w:r w:rsidR="00884123">
        <w:rPr>
          <w:sz w:val="24"/>
          <w:szCs w:val="24"/>
        </w:rPr>
        <w:t>ceable</w:t>
      </w:r>
      <w:r w:rsidR="007F7F76">
        <w:rPr>
          <w:sz w:val="24"/>
          <w:szCs w:val="24"/>
        </w:rPr>
        <w:t xml:space="preserve"> permit requirement</w:t>
      </w:r>
      <w:r w:rsidRPr="00B820E9">
        <w:rPr>
          <w:sz w:val="24"/>
          <w:szCs w:val="24"/>
        </w:rPr>
        <w:t>:</w:t>
      </w:r>
    </w:p>
    <w:p w14:paraId="35D81948" w14:textId="77777777" w:rsidR="008A1900" w:rsidRPr="00E13198" w:rsidRDefault="008A1900" w:rsidP="00D511FD">
      <w:pPr>
        <w:pStyle w:val="Heading1"/>
      </w:pPr>
      <w:bookmarkStart w:id="8" w:name="_Toc489256241"/>
      <w:r w:rsidRPr="00E13198">
        <w:lastRenderedPageBreak/>
        <w:t xml:space="preserve">Model </w:t>
      </w:r>
      <w:r w:rsidR="001145C1" w:rsidRPr="00E13198">
        <w:t xml:space="preserve">Selection and </w:t>
      </w:r>
      <w:r w:rsidRPr="00E13198">
        <w:t>Options</w:t>
      </w:r>
      <w:bookmarkEnd w:id="8"/>
    </w:p>
    <w:p w14:paraId="3E4EBC38" w14:textId="77777777" w:rsidR="00261006" w:rsidRPr="00B820E9" w:rsidRDefault="008230C0" w:rsidP="00EB19BF">
      <w:pPr>
        <w:rPr>
          <w:sz w:val="24"/>
          <w:szCs w:val="24"/>
        </w:rPr>
      </w:pPr>
      <w:r w:rsidRPr="00B820E9">
        <w:rPr>
          <w:sz w:val="24"/>
          <w:szCs w:val="24"/>
        </w:rPr>
        <w:t>For most air di</w:t>
      </w:r>
      <w:r w:rsidR="0021628A" w:rsidRPr="00B820E9">
        <w:rPr>
          <w:sz w:val="24"/>
          <w:szCs w:val="24"/>
        </w:rPr>
        <w:t>spersion modeling in Nebraska,</w:t>
      </w:r>
      <w:r w:rsidRPr="00B820E9">
        <w:rPr>
          <w:sz w:val="24"/>
          <w:szCs w:val="24"/>
        </w:rPr>
        <w:t xml:space="preserve"> </w:t>
      </w:r>
      <w:r w:rsidR="0021628A" w:rsidRPr="00B820E9">
        <w:rPr>
          <w:sz w:val="24"/>
          <w:szCs w:val="24"/>
        </w:rPr>
        <w:t xml:space="preserve">the current version of </w:t>
      </w:r>
      <w:r w:rsidR="008A1900" w:rsidRPr="00B820E9">
        <w:rPr>
          <w:sz w:val="24"/>
          <w:szCs w:val="24"/>
        </w:rPr>
        <w:t>EPA</w:t>
      </w:r>
      <w:r w:rsidR="00CD7544" w:rsidRPr="00B820E9">
        <w:rPr>
          <w:sz w:val="24"/>
          <w:szCs w:val="24"/>
        </w:rPr>
        <w:t xml:space="preserve"> </w:t>
      </w:r>
      <w:r w:rsidR="008A1900" w:rsidRPr="00B820E9">
        <w:rPr>
          <w:sz w:val="24"/>
          <w:szCs w:val="24"/>
        </w:rPr>
        <w:t>AERMOD</w:t>
      </w:r>
      <w:r w:rsidR="0021628A" w:rsidRPr="00B820E9">
        <w:rPr>
          <w:sz w:val="24"/>
          <w:szCs w:val="24"/>
        </w:rPr>
        <w:t xml:space="preserve"> </w:t>
      </w:r>
      <w:r w:rsidRPr="00B820E9">
        <w:rPr>
          <w:sz w:val="24"/>
          <w:szCs w:val="24"/>
        </w:rPr>
        <w:t>is the preferred model</w:t>
      </w:r>
      <w:r w:rsidR="00CD7544" w:rsidRPr="00B820E9">
        <w:rPr>
          <w:sz w:val="24"/>
          <w:szCs w:val="24"/>
        </w:rPr>
        <w:t xml:space="preserve">.  </w:t>
      </w:r>
      <w:r w:rsidR="00261006" w:rsidRPr="00B820E9">
        <w:rPr>
          <w:sz w:val="24"/>
          <w:szCs w:val="24"/>
        </w:rPr>
        <w:t xml:space="preserve">There may be circumstances when another refined model listed in Appendix A of Appendix W of Part 51 might be more suitable, and this should be first </w:t>
      </w:r>
      <w:r w:rsidR="00DE52D4" w:rsidRPr="00B820E9">
        <w:rPr>
          <w:sz w:val="24"/>
          <w:szCs w:val="24"/>
        </w:rPr>
        <w:t>reviewed</w:t>
      </w:r>
      <w:r w:rsidR="00261006" w:rsidRPr="00B820E9">
        <w:rPr>
          <w:sz w:val="24"/>
          <w:szCs w:val="24"/>
        </w:rPr>
        <w:t xml:space="preserve"> and approved by the NDEQ.  C</w:t>
      </w:r>
      <w:r w:rsidR="007F7F76">
        <w:rPr>
          <w:sz w:val="24"/>
          <w:szCs w:val="24"/>
        </w:rPr>
        <w:t>ALPUFF</w:t>
      </w:r>
      <w:r w:rsidR="00261006" w:rsidRPr="00B820E9">
        <w:rPr>
          <w:sz w:val="24"/>
          <w:szCs w:val="24"/>
        </w:rPr>
        <w:t xml:space="preserve"> is </w:t>
      </w:r>
      <w:r w:rsidR="00261006" w:rsidRPr="00B820E9">
        <w:rPr>
          <w:sz w:val="24"/>
          <w:szCs w:val="24"/>
          <w:u w:val="single"/>
        </w:rPr>
        <w:t>not</w:t>
      </w:r>
      <w:r w:rsidR="00261006" w:rsidRPr="00B820E9">
        <w:rPr>
          <w:sz w:val="24"/>
          <w:szCs w:val="24"/>
        </w:rPr>
        <w:t xml:space="preserve"> an approved near field model and </w:t>
      </w:r>
      <w:r w:rsidR="00261006" w:rsidRPr="00B820E9">
        <w:rPr>
          <w:sz w:val="24"/>
          <w:szCs w:val="24"/>
          <w:u w:val="single"/>
        </w:rPr>
        <w:t>cannot be used</w:t>
      </w:r>
      <w:r w:rsidR="00261006" w:rsidRPr="00B820E9">
        <w:rPr>
          <w:sz w:val="24"/>
          <w:szCs w:val="24"/>
        </w:rPr>
        <w:t xml:space="preserve"> to support a Construction Permit in Nebraska</w:t>
      </w:r>
      <w:r w:rsidR="003C3872" w:rsidRPr="00B820E9">
        <w:rPr>
          <w:sz w:val="24"/>
          <w:szCs w:val="24"/>
        </w:rPr>
        <w:t xml:space="preserve">.  </w:t>
      </w:r>
      <w:r w:rsidR="00B03B07" w:rsidRPr="00B820E9">
        <w:rPr>
          <w:sz w:val="24"/>
          <w:szCs w:val="24"/>
        </w:rPr>
        <w:t>(</w:t>
      </w:r>
      <w:proofErr w:type="gramStart"/>
      <w:r w:rsidR="007F7F76">
        <w:rPr>
          <w:sz w:val="24"/>
          <w:szCs w:val="24"/>
        </w:rPr>
        <w:t>see</w:t>
      </w:r>
      <w:proofErr w:type="gramEnd"/>
      <w:r w:rsidR="007F7F76">
        <w:rPr>
          <w:sz w:val="24"/>
          <w:szCs w:val="24"/>
        </w:rPr>
        <w:t xml:space="preserve"> </w:t>
      </w:r>
      <w:r w:rsidR="00B03B07" w:rsidRPr="00B820E9">
        <w:rPr>
          <w:sz w:val="24"/>
          <w:szCs w:val="24"/>
        </w:rPr>
        <w:t xml:space="preserve">Clarification on Regulatory Status of CALPUFF for Nearfield Applications - </w:t>
      </w:r>
      <w:r w:rsidR="00971AA0" w:rsidRPr="00B820E9">
        <w:rPr>
          <w:sz w:val="24"/>
          <w:szCs w:val="24"/>
        </w:rPr>
        <w:t xml:space="preserve">MCHM, </w:t>
      </w:r>
      <w:r w:rsidR="00B03B07" w:rsidRPr="00B820E9">
        <w:rPr>
          <w:sz w:val="24"/>
          <w:szCs w:val="24"/>
        </w:rPr>
        <w:t>14Aug 2008)</w:t>
      </w:r>
    </w:p>
    <w:p w14:paraId="6D977ABF" w14:textId="77777777" w:rsidR="00261006" w:rsidRPr="00E13198" w:rsidRDefault="00261006" w:rsidP="00EB19BF">
      <w:pPr>
        <w:rPr>
          <w:sz w:val="24"/>
          <w:szCs w:val="24"/>
        </w:rPr>
      </w:pPr>
    </w:p>
    <w:p w14:paraId="674CD963" w14:textId="77777777" w:rsidR="007F7F76" w:rsidRDefault="00CD7544" w:rsidP="00EB19BF">
      <w:pPr>
        <w:rPr>
          <w:sz w:val="24"/>
          <w:szCs w:val="24"/>
        </w:rPr>
      </w:pPr>
      <w:r w:rsidRPr="00E13198">
        <w:rPr>
          <w:sz w:val="24"/>
          <w:szCs w:val="24"/>
        </w:rPr>
        <w:t>The model and current model version must be included in the protocol.  R</w:t>
      </w:r>
      <w:r w:rsidR="008A1900" w:rsidRPr="00E13198">
        <w:rPr>
          <w:sz w:val="24"/>
          <w:szCs w:val="24"/>
        </w:rPr>
        <w:t>egulatory defaults</w:t>
      </w:r>
      <w:r w:rsidR="003075FA" w:rsidRPr="00E13198">
        <w:rPr>
          <w:sz w:val="24"/>
          <w:szCs w:val="24"/>
        </w:rPr>
        <w:t xml:space="preserve"> </w:t>
      </w:r>
      <w:r w:rsidR="008230C0" w:rsidRPr="00E13198">
        <w:rPr>
          <w:sz w:val="24"/>
          <w:szCs w:val="24"/>
        </w:rPr>
        <w:t>options</w:t>
      </w:r>
      <w:r w:rsidRPr="00E13198">
        <w:rPr>
          <w:sz w:val="24"/>
          <w:szCs w:val="24"/>
        </w:rPr>
        <w:t xml:space="preserve"> should be used</w:t>
      </w:r>
      <w:r w:rsidR="008230C0" w:rsidRPr="00E13198">
        <w:rPr>
          <w:sz w:val="24"/>
          <w:szCs w:val="24"/>
        </w:rPr>
        <w:t xml:space="preserve">.  Non-regulatory default options must be preapproved by the NDEQ and </w:t>
      </w:r>
      <w:r w:rsidR="007F7F76">
        <w:rPr>
          <w:sz w:val="24"/>
          <w:szCs w:val="24"/>
        </w:rPr>
        <w:t xml:space="preserve">must </w:t>
      </w:r>
      <w:r w:rsidR="008230C0" w:rsidRPr="00E13198">
        <w:rPr>
          <w:sz w:val="24"/>
          <w:szCs w:val="24"/>
        </w:rPr>
        <w:t>satisfy 40CFR Appendix W, Section 3.2.2 (e) (</w:t>
      </w:r>
      <w:proofErr w:type="spellStart"/>
      <w:r w:rsidR="008230C0" w:rsidRPr="00E13198">
        <w:rPr>
          <w:sz w:val="24"/>
          <w:szCs w:val="24"/>
        </w:rPr>
        <w:t>i</w:t>
      </w:r>
      <w:proofErr w:type="spellEnd"/>
      <w:r w:rsidR="008230C0" w:rsidRPr="00E13198">
        <w:rPr>
          <w:sz w:val="24"/>
          <w:szCs w:val="24"/>
        </w:rPr>
        <w:t>-v).</w:t>
      </w:r>
    </w:p>
    <w:p w14:paraId="0A3C894E" w14:textId="77777777" w:rsidR="00B870C9" w:rsidRDefault="00B870C9" w:rsidP="00B870C9">
      <w:pPr>
        <w:pStyle w:val="Heading1"/>
        <w:spacing w:before="0"/>
      </w:pPr>
    </w:p>
    <w:p w14:paraId="4F6C1CBF" w14:textId="77777777" w:rsidR="00E524F0" w:rsidRPr="00371468" w:rsidRDefault="006B1BCD" w:rsidP="00B870C9">
      <w:pPr>
        <w:pStyle w:val="Heading1"/>
        <w:spacing w:before="0"/>
      </w:pPr>
      <w:bookmarkStart w:id="9" w:name="_Toc489256242"/>
      <w:r w:rsidRPr="00371468">
        <w:t>NAAQS Analysis</w:t>
      </w:r>
      <w:bookmarkEnd w:id="9"/>
    </w:p>
    <w:p w14:paraId="0197BA0F" w14:textId="77777777" w:rsidR="00293B9D" w:rsidRPr="00371468" w:rsidRDefault="00293B9D" w:rsidP="00293B9D">
      <w:pPr>
        <w:rPr>
          <w:sz w:val="24"/>
          <w:szCs w:val="24"/>
        </w:rPr>
      </w:pPr>
      <w:r w:rsidRPr="00371468">
        <w:rPr>
          <w:sz w:val="24"/>
          <w:szCs w:val="24"/>
        </w:rPr>
        <w:t xml:space="preserve">The Clean Air Act identifies </w:t>
      </w:r>
      <w:r w:rsidR="00DE72FA" w:rsidRPr="00371468">
        <w:rPr>
          <w:sz w:val="24"/>
          <w:szCs w:val="24"/>
        </w:rPr>
        <w:t xml:space="preserve">primary and secondary </w:t>
      </w:r>
      <w:r w:rsidRPr="00371468">
        <w:rPr>
          <w:sz w:val="24"/>
          <w:szCs w:val="24"/>
        </w:rPr>
        <w:t>national ambient air quality standards</w:t>
      </w:r>
      <w:r w:rsidR="0039036E" w:rsidRPr="00371468">
        <w:rPr>
          <w:sz w:val="24"/>
          <w:szCs w:val="24"/>
        </w:rPr>
        <w:t xml:space="preserve">.  </w:t>
      </w:r>
      <w:r w:rsidR="00AB63F9" w:rsidRPr="00371468">
        <w:rPr>
          <w:sz w:val="24"/>
          <w:szCs w:val="24"/>
        </w:rPr>
        <w:t>These p</w:t>
      </w:r>
      <w:r w:rsidRPr="00371468">
        <w:rPr>
          <w:sz w:val="24"/>
          <w:szCs w:val="24"/>
        </w:rPr>
        <w:t xml:space="preserve">rimary standards </w:t>
      </w:r>
      <w:r w:rsidR="00AB63F9" w:rsidRPr="00371468">
        <w:rPr>
          <w:sz w:val="24"/>
          <w:szCs w:val="24"/>
        </w:rPr>
        <w:t>are set for</w:t>
      </w:r>
      <w:r w:rsidRPr="00371468">
        <w:rPr>
          <w:sz w:val="24"/>
          <w:szCs w:val="24"/>
        </w:rPr>
        <w:t xml:space="preserve"> public health protection, including protecting the health of "sensitive" populations such as asthmatics, children, and the elderly</w:t>
      </w:r>
      <w:r w:rsidR="0039036E" w:rsidRPr="00371468">
        <w:rPr>
          <w:sz w:val="24"/>
          <w:szCs w:val="24"/>
        </w:rPr>
        <w:t xml:space="preserve">.  </w:t>
      </w:r>
      <w:r w:rsidRPr="00371468">
        <w:rPr>
          <w:sz w:val="24"/>
          <w:szCs w:val="24"/>
        </w:rPr>
        <w:t xml:space="preserve">Secondary standards </w:t>
      </w:r>
      <w:r w:rsidR="00AB63F9">
        <w:rPr>
          <w:sz w:val="24"/>
          <w:szCs w:val="24"/>
        </w:rPr>
        <w:t xml:space="preserve">have also been set to </w:t>
      </w:r>
      <w:r w:rsidRPr="00371468">
        <w:rPr>
          <w:sz w:val="24"/>
          <w:szCs w:val="24"/>
        </w:rPr>
        <w:t xml:space="preserve">provide public welfare protection, </w:t>
      </w:r>
      <w:r w:rsidR="00AB63F9">
        <w:rPr>
          <w:sz w:val="24"/>
          <w:szCs w:val="24"/>
        </w:rPr>
        <w:t xml:space="preserve">such as </w:t>
      </w:r>
      <w:r w:rsidRPr="00371468">
        <w:rPr>
          <w:sz w:val="24"/>
          <w:szCs w:val="24"/>
        </w:rPr>
        <w:t>protection against decreased visibility and damage to animals, crops, vegetation, and buildings.</w:t>
      </w:r>
    </w:p>
    <w:p w14:paraId="34C98FCA" w14:textId="77777777" w:rsidR="00293B9D" w:rsidRPr="00E13198" w:rsidRDefault="00293B9D" w:rsidP="00293B9D">
      <w:pPr>
        <w:rPr>
          <w:sz w:val="24"/>
          <w:szCs w:val="24"/>
        </w:rPr>
      </w:pPr>
    </w:p>
    <w:p w14:paraId="339E1705" w14:textId="77777777" w:rsidR="00293B9D" w:rsidRPr="00E13198" w:rsidRDefault="00293B9D" w:rsidP="00293B9D">
      <w:pPr>
        <w:rPr>
          <w:sz w:val="24"/>
          <w:szCs w:val="24"/>
        </w:rPr>
      </w:pPr>
      <w:r w:rsidRPr="00E13198">
        <w:rPr>
          <w:sz w:val="24"/>
          <w:szCs w:val="24"/>
        </w:rPr>
        <w:t xml:space="preserve">The </w:t>
      </w:r>
      <w:r w:rsidR="00C31802">
        <w:rPr>
          <w:sz w:val="24"/>
          <w:szCs w:val="24"/>
        </w:rPr>
        <w:t>NAAQS</w:t>
      </w:r>
      <w:r w:rsidRPr="00E13198">
        <w:rPr>
          <w:sz w:val="24"/>
          <w:szCs w:val="24"/>
        </w:rPr>
        <w:t xml:space="preserve"> for six principal pollutants, called "criteria" pollutants</w:t>
      </w:r>
      <w:r w:rsidR="00FB6770" w:rsidRPr="00E13198">
        <w:rPr>
          <w:sz w:val="24"/>
          <w:szCs w:val="24"/>
        </w:rPr>
        <w:t>,</w:t>
      </w:r>
      <w:r w:rsidR="00AB63F9" w:rsidRPr="00847624">
        <w:rPr>
          <w:sz w:val="24"/>
          <w:szCs w:val="24"/>
        </w:rPr>
        <w:t xml:space="preserve"> are set by EPA</w:t>
      </w:r>
      <w:r w:rsidR="0039036E" w:rsidRPr="00E13198">
        <w:rPr>
          <w:sz w:val="24"/>
          <w:szCs w:val="24"/>
        </w:rPr>
        <w:t xml:space="preserve">.  </w:t>
      </w:r>
      <w:r w:rsidR="00FB6770" w:rsidRPr="00847624">
        <w:rPr>
          <w:sz w:val="24"/>
          <w:szCs w:val="24"/>
        </w:rPr>
        <w:t>T</w:t>
      </w:r>
      <w:r w:rsidRPr="00E13198">
        <w:rPr>
          <w:sz w:val="24"/>
          <w:szCs w:val="24"/>
        </w:rPr>
        <w:t>he</w:t>
      </w:r>
      <w:r w:rsidR="00FB6770" w:rsidRPr="00E13198">
        <w:rPr>
          <w:sz w:val="24"/>
          <w:szCs w:val="24"/>
        </w:rPr>
        <w:t>se</w:t>
      </w:r>
      <w:r w:rsidRPr="00E13198">
        <w:rPr>
          <w:sz w:val="24"/>
          <w:szCs w:val="24"/>
        </w:rPr>
        <w:t xml:space="preserve"> standards are </w:t>
      </w:r>
      <w:r w:rsidR="00FB6770" w:rsidRPr="00E13198">
        <w:rPr>
          <w:sz w:val="24"/>
          <w:szCs w:val="24"/>
        </w:rPr>
        <w:t xml:space="preserve">also </w:t>
      </w:r>
      <w:r w:rsidRPr="00E13198">
        <w:rPr>
          <w:sz w:val="24"/>
          <w:szCs w:val="24"/>
        </w:rPr>
        <w:t xml:space="preserve">reviewed </w:t>
      </w:r>
      <w:r w:rsidR="00FB6770">
        <w:rPr>
          <w:sz w:val="24"/>
          <w:szCs w:val="24"/>
        </w:rPr>
        <w:t xml:space="preserve">periodically by EPA </w:t>
      </w:r>
      <w:r w:rsidRPr="00E13198">
        <w:rPr>
          <w:sz w:val="24"/>
          <w:szCs w:val="24"/>
        </w:rPr>
        <w:t>and may be revised</w:t>
      </w:r>
      <w:r w:rsidR="0039036E" w:rsidRPr="00E13198">
        <w:rPr>
          <w:sz w:val="24"/>
          <w:szCs w:val="24"/>
        </w:rPr>
        <w:t xml:space="preserve">.  </w:t>
      </w:r>
      <w:r w:rsidRPr="00E13198">
        <w:rPr>
          <w:sz w:val="24"/>
          <w:szCs w:val="24"/>
        </w:rPr>
        <w:t xml:space="preserve">The current standards </w:t>
      </w:r>
      <w:r w:rsidR="008635BB">
        <w:rPr>
          <w:sz w:val="24"/>
          <w:szCs w:val="24"/>
        </w:rPr>
        <w:t xml:space="preserve">on the date this guidance document was prepared </w:t>
      </w:r>
      <w:r w:rsidRPr="00E13198">
        <w:rPr>
          <w:sz w:val="24"/>
          <w:szCs w:val="24"/>
        </w:rPr>
        <w:t>are listed below</w:t>
      </w:r>
      <w:r w:rsidR="0039036E" w:rsidRPr="00E13198">
        <w:rPr>
          <w:sz w:val="24"/>
          <w:szCs w:val="24"/>
        </w:rPr>
        <w:t xml:space="preserve">.  </w:t>
      </w:r>
      <w:r w:rsidRPr="00E13198">
        <w:rPr>
          <w:sz w:val="24"/>
          <w:szCs w:val="24"/>
        </w:rPr>
        <w:t xml:space="preserve">Units of measure for the standards are </w:t>
      </w:r>
      <w:r w:rsidR="0075340E" w:rsidRPr="00E13198">
        <w:rPr>
          <w:sz w:val="24"/>
          <w:szCs w:val="24"/>
        </w:rPr>
        <w:t xml:space="preserve">in </w:t>
      </w:r>
      <w:r w:rsidRPr="00E13198">
        <w:rPr>
          <w:sz w:val="24"/>
          <w:szCs w:val="24"/>
        </w:rPr>
        <w:t>micrograms per cubic meter of air (µg/m</w:t>
      </w:r>
      <w:r w:rsidRPr="00E13198">
        <w:rPr>
          <w:sz w:val="24"/>
          <w:szCs w:val="24"/>
          <w:vertAlign w:val="superscript"/>
        </w:rPr>
        <w:t>3</w:t>
      </w:r>
      <w:r w:rsidRPr="00E13198">
        <w:rPr>
          <w:sz w:val="24"/>
          <w:szCs w:val="24"/>
        </w:rPr>
        <w:t>)</w:t>
      </w:r>
      <w:r w:rsidR="0075340E" w:rsidRPr="00E13198">
        <w:rPr>
          <w:sz w:val="24"/>
          <w:szCs w:val="24"/>
        </w:rPr>
        <w:t>, except for TRS, which is in parts per million (ppm) by volume.</w:t>
      </w:r>
      <w:r w:rsidR="00E97959" w:rsidRPr="00E13198">
        <w:rPr>
          <w:b/>
          <w:sz w:val="24"/>
          <w:szCs w:val="24"/>
        </w:rPr>
        <w:t xml:space="preserve">  </w:t>
      </w:r>
      <w:r w:rsidR="00E97959" w:rsidRPr="00E13198">
        <w:rPr>
          <w:sz w:val="24"/>
          <w:szCs w:val="24"/>
        </w:rPr>
        <w:t>Additional information for modeling TRS can be found in</w:t>
      </w:r>
      <w:r w:rsidR="00E97959" w:rsidRPr="00E13198">
        <w:rPr>
          <w:b/>
          <w:sz w:val="24"/>
          <w:szCs w:val="24"/>
        </w:rPr>
        <w:t xml:space="preserve"> </w:t>
      </w:r>
      <w:r w:rsidR="00E97959" w:rsidRPr="00E13198">
        <w:rPr>
          <w:sz w:val="24"/>
          <w:szCs w:val="24"/>
        </w:rPr>
        <w:t xml:space="preserve">Appendix D </w:t>
      </w:r>
      <w:r w:rsidR="008635BB" w:rsidRPr="00847624">
        <w:rPr>
          <w:sz w:val="24"/>
          <w:szCs w:val="24"/>
        </w:rPr>
        <w:t>- Calculation</w:t>
      </w:r>
      <w:r w:rsidR="00E97959" w:rsidRPr="00E13198">
        <w:rPr>
          <w:sz w:val="24"/>
          <w:szCs w:val="24"/>
        </w:rPr>
        <w:t xml:space="preserve"> of 30-minute rolling average Total Reduced Sulfur (TRS)</w:t>
      </w:r>
      <w:r w:rsidR="00D36615" w:rsidRPr="00E13198">
        <w:rPr>
          <w:sz w:val="24"/>
          <w:szCs w:val="24"/>
        </w:rPr>
        <w:t>.</w:t>
      </w:r>
    </w:p>
    <w:p w14:paraId="52E5E99A" w14:textId="77777777" w:rsidR="00293B9D" w:rsidRPr="00E13198" w:rsidRDefault="00293B9D" w:rsidP="00293B9D">
      <w:pPr>
        <w:rPr>
          <w:sz w:val="24"/>
          <w:szCs w:val="24"/>
        </w:rPr>
      </w:pPr>
    </w:p>
    <w:p w14:paraId="593FA5C7" w14:textId="77777777" w:rsidR="002625B4" w:rsidRDefault="00B10367" w:rsidP="002625B4">
      <w:pPr>
        <w:rPr>
          <w:sz w:val="24"/>
          <w:szCs w:val="24"/>
        </w:rPr>
      </w:pPr>
      <w:r w:rsidRPr="00E13198">
        <w:rPr>
          <w:sz w:val="24"/>
          <w:szCs w:val="24"/>
        </w:rPr>
        <w:t xml:space="preserve">Pollutants considered in this guidance include all criteria pollutants.  </w:t>
      </w:r>
      <w:r w:rsidR="00E22C74" w:rsidRPr="00E13198">
        <w:rPr>
          <w:sz w:val="24"/>
          <w:szCs w:val="24"/>
        </w:rPr>
        <w:t xml:space="preserve">In addition to criteria pollutants, </w:t>
      </w:r>
      <w:r w:rsidR="00293B9D" w:rsidRPr="00E13198">
        <w:rPr>
          <w:sz w:val="24"/>
          <w:szCs w:val="24"/>
        </w:rPr>
        <w:t>Nebraska</w:t>
      </w:r>
      <w:r w:rsidR="004716DA">
        <w:rPr>
          <w:sz w:val="24"/>
          <w:szCs w:val="24"/>
        </w:rPr>
        <w:t>’s</w:t>
      </w:r>
      <w:r w:rsidR="00293B9D" w:rsidRPr="00E13198">
        <w:rPr>
          <w:sz w:val="24"/>
          <w:szCs w:val="24"/>
        </w:rPr>
        <w:t xml:space="preserve"> AAQS for Total Reduced Sulfur (including H</w:t>
      </w:r>
      <w:r w:rsidR="00293B9D" w:rsidRPr="00E13198">
        <w:rPr>
          <w:sz w:val="24"/>
          <w:szCs w:val="24"/>
          <w:vertAlign w:val="subscript"/>
        </w:rPr>
        <w:t>2</w:t>
      </w:r>
      <w:r w:rsidR="00293B9D" w:rsidRPr="00E13198">
        <w:rPr>
          <w:sz w:val="24"/>
          <w:szCs w:val="24"/>
        </w:rPr>
        <w:t>S)</w:t>
      </w:r>
      <w:r w:rsidR="004716DA">
        <w:rPr>
          <w:sz w:val="24"/>
          <w:szCs w:val="24"/>
        </w:rPr>
        <w:t xml:space="preserve"> is</w:t>
      </w:r>
      <w:r w:rsidR="00293B9D" w:rsidRPr="00E13198">
        <w:rPr>
          <w:sz w:val="24"/>
          <w:szCs w:val="24"/>
        </w:rPr>
        <w:t xml:space="preserve"> listed in </w:t>
      </w:r>
      <w:r w:rsidR="00C77BFC" w:rsidRPr="00E13198">
        <w:rPr>
          <w:sz w:val="24"/>
          <w:szCs w:val="24"/>
        </w:rPr>
        <w:t>Table 5</w:t>
      </w:r>
      <w:r w:rsidR="00293B9D" w:rsidRPr="00E13198">
        <w:rPr>
          <w:sz w:val="24"/>
          <w:szCs w:val="24"/>
        </w:rPr>
        <w:t>.</w:t>
      </w:r>
    </w:p>
    <w:p w14:paraId="79C7A9F1" w14:textId="77777777" w:rsidR="008635BB" w:rsidRPr="00E13198" w:rsidRDefault="008635BB" w:rsidP="002625B4">
      <w:pPr>
        <w:rPr>
          <w:sz w:val="24"/>
          <w:szCs w:val="24"/>
        </w:rPr>
      </w:pPr>
    </w:p>
    <w:p w14:paraId="7BCF7CE8" w14:textId="77777777" w:rsidR="00B10367" w:rsidRPr="00E13198" w:rsidRDefault="00B10367" w:rsidP="00A94D92">
      <w:pPr>
        <w:rPr>
          <w:sz w:val="24"/>
          <w:szCs w:val="24"/>
        </w:rPr>
      </w:pPr>
    </w:p>
    <w:tbl>
      <w:tblPr>
        <w:tblStyle w:val="TableGrid"/>
        <w:tblW w:w="8640" w:type="dxa"/>
        <w:jc w:val="center"/>
        <w:tblLook w:val="04A0" w:firstRow="1" w:lastRow="0" w:firstColumn="1" w:lastColumn="0" w:noHBand="0" w:noVBand="1"/>
      </w:tblPr>
      <w:tblGrid>
        <w:gridCol w:w="1163"/>
        <w:gridCol w:w="101"/>
        <w:gridCol w:w="1182"/>
        <w:gridCol w:w="1296"/>
        <w:gridCol w:w="1057"/>
        <w:gridCol w:w="2365"/>
        <w:gridCol w:w="1476"/>
      </w:tblGrid>
      <w:tr w:rsidR="006E7759" w:rsidRPr="007F7F76" w14:paraId="6F8AD093" w14:textId="77777777" w:rsidTr="00E13198">
        <w:trPr>
          <w:cantSplit/>
          <w:tblHeader/>
          <w:jc w:val="center"/>
        </w:trPr>
        <w:tc>
          <w:tcPr>
            <w:tcW w:w="1111" w:type="dxa"/>
            <w:gridSpan w:val="2"/>
            <w:tcBorders>
              <w:top w:val="nil"/>
              <w:left w:val="nil"/>
              <w:bottom w:val="single" w:sz="12" w:space="0" w:color="auto"/>
              <w:right w:val="nil"/>
            </w:tcBorders>
          </w:tcPr>
          <w:p w14:paraId="61F7C1F2" w14:textId="77777777" w:rsidR="006E7759" w:rsidRPr="00E13198" w:rsidRDefault="006E7759" w:rsidP="006E7759">
            <w:pPr>
              <w:jc w:val="center"/>
              <w:rPr>
                <w:b/>
                <w:sz w:val="24"/>
                <w:szCs w:val="24"/>
              </w:rPr>
            </w:pPr>
          </w:p>
        </w:tc>
        <w:tc>
          <w:tcPr>
            <w:tcW w:w="5934" w:type="dxa"/>
            <w:gridSpan w:val="4"/>
            <w:tcBorders>
              <w:top w:val="nil"/>
              <w:left w:val="nil"/>
              <w:bottom w:val="single" w:sz="12" w:space="0" w:color="auto"/>
              <w:right w:val="nil"/>
            </w:tcBorders>
            <w:vAlign w:val="bottom"/>
          </w:tcPr>
          <w:p w14:paraId="78D84FE1" w14:textId="77777777" w:rsidR="006E7759" w:rsidRPr="00E13198" w:rsidRDefault="006E7759" w:rsidP="00847624">
            <w:pPr>
              <w:jc w:val="center"/>
              <w:rPr>
                <w:b/>
                <w:sz w:val="24"/>
                <w:szCs w:val="24"/>
              </w:rPr>
            </w:pPr>
            <w:r w:rsidRPr="00E13198">
              <w:rPr>
                <w:b/>
                <w:sz w:val="24"/>
                <w:szCs w:val="24"/>
              </w:rPr>
              <w:t xml:space="preserve">Table </w:t>
            </w:r>
            <w:r w:rsidR="0039036E" w:rsidRPr="00E13198">
              <w:rPr>
                <w:b/>
                <w:sz w:val="24"/>
                <w:szCs w:val="24"/>
              </w:rPr>
              <w:t>5</w:t>
            </w:r>
            <w:r w:rsidRPr="00E13198">
              <w:rPr>
                <w:b/>
                <w:sz w:val="24"/>
                <w:szCs w:val="24"/>
              </w:rPr>
              <w:t xml:space="preserve"> - Ambient Air Quality Standards (NAAQS)</w:t>
            </w:r>
          </w:p>
        </w:tc>
        <w:tc>
          <w:tcPr>
            <w:tcW w:w="1595" w:type="dxa"/>
            <w:tcBorders>
              <w:top w:val="nil"/>
              <w:left w:val="nil"/>
              <w:bottom w:val="single" w:sz="12" w:space="0" w:color="auto"/>
              <w:right w:val="nil"/>
            </w:tcBorders>
          </w:tcPr>
          <w:p w14:paraId="1D7D6B51" w14:textId="77777777" w:rsidR="006E7759" w:rsidRPr="00E13198" w:rsidRDefault="006E7759" w:rsidP="006E7759">
            <w:pPr>
              <w:jc w:val="center"/>
              <w:rPr>
                <w:b/>
                <w:sz w:val="24"/>
                <w:szCs w:val="24"/>
              </w:rPr>
            </w:pPr>
          </w:p>
        </w:tc>
      </w:tr>
      <w:tr w:rsidR="006E7759" w:rsidRPr="007F7F76" w14:paraId="2B6D02E9" w14:textId="77777777" w:rsidTr="00E13198">
        <w:trPr>
          <w:cantSplit/>
          <w:tblHeader/>
          <w:jc w:val="center"/>
        </w:trPr>
        <w:tc>
          <w:tcPr>
            <w:tcW w:w="1028" w:type="dxa"/>
            <w:tcBorders>
              <w:top w:val="nil"/>
              <w:left w:val="single" w:sz="4" w:space="0" w:color="auto"/>
              <w:bottom w:val="single" w:sz="12" w:space="0" w:color="auto"/>
            </w:tcBorders>
            <w:vAlign w:val="center"/>
          </w:tcPr>
          <w:p w14:paraId="3B70828D" w14:textId="77777777" w:rsidR="006E7759" w:rsidRPr="00E13198" w:rsidRDefault="006E7759" w:rsidP="006E7759">
            <w:pPr>
              <w:jc w:val="center"/>
              <w:rPr>
                <w:b/>
                <w:sz w:val="24"/>
                <w:szCs w:val="24"/>
              </w:rPr>
            </w:pPr>
            <w:r w:rsidRPr="00E13198">
              <w:rPr>
                <w:b/>
                <w:sz w:val="24"/>
                <w:szCs w:val="24"/>
              </w:rPr>
              <w:t>Pollutant</w:t>
            </w:r>
          </w:p>
        </w:tc>
        <w:tc>
          <w:tcPr>
            <w:tcW w:w="1105" w:type="dxa"/>
            <w:gridSpan w:val="2"/>
            <w:tcBorders>
              <w:top w:val="nil"/>
              <w:bottom w:val="single" w:sz="12" w:space="0" w:color="auto"/>
            </w:tcBorders>
            <w:vAlign w:val="center"/>
          </w:tcPr>
          <w:p w14:paraId="664D2B78" w14:textId="77777777" w:rsidR="006E7759" w:rsidRPr="00E13198" w:rsidRDefault="006E7759" w:rsidP="006E7759">
            <w:pPr>
              <w:jc w:val="center"/>
              <w:rPr>
                <w:b/>
                <w:sz w:val="24"/>
                <w:szCs w:val="24"/>
              </w:rPr>
            </w:pPr>
            <w:r w:rsidRPr="00E13198">
              <w:rPr>
                <w:b/>
                <w:sz w:val="24"/>
                <w:szCs w:val="24"/>
              </w:rPr>
              <w:t>Averaging Period</w:t>
            </w:r>
          </w:p>
        </w:tc>
        <w:tc>
          <w:tcPr>
            <w:tcW w:w="1206" w:type="dxa"/>
            <w:tcBorders>
              <w:top w:val="nil"/>
              <w:bottom w:val="single" w:sz="12" w:space="0" w:color="auto"/>
            </w:tcBorders>
            <w:vAlign w:val="center"/>
          </w:tcPr>
          <w:p w14:paraId="3989890A" w14:textId="77777777" w:rsidR="006E7759" w:rsidRPr="00E13198" w:rsidRDefault="006E7759" w:rsidP="006E7759">
            <w:pPr>
              <w:jc w:val="center"/>
              <w:rPr>
                <w:b/>
                <w:sz w:val="24"/>
                <w:szCs w:val="24"/>
              </w:rPr>
            </w:pPr>
            <w:r w:rsidRPr="00E13198">
              <w:rPr>
                <w:b/>
                <w:sz w:val="24"/>
                <w:szCs w:val="24"/>
              </w:rPr>
              <w:t>Primary/</w:t>
            </w:r>
          </w:p>
          <w:p w14:paraId="6C5B146E" w14:textId="77777777" w:rsidR="006E7759" w:rsidRPr="00E13198" w:rsidRDefault="006E7759" w:rsidP="006E7759">
            <w:pPr>
              <w:jc w:val="center"/>
              <w:rPr>
                <w:b/>
                <w:sz w:val="24"/>
                <w:szCs w:val="24"/>
              </w:rPr>
            </w:pPr>
            <w:r w:rsidRPr="00E13198">
              <w:rPr>
                <w:b/>
                <w:sz w:val="24"/>
                <w:szCs w:val="24"/>
              </w:rPr>
              <w:t>Secondary</w:t>
            </w:r>
          </w:p>
        </w:tc>
        <w:tc>
          <w:tcPr>
            <w:tcW w:w="990" w:type="dxa"/>
            <w:tcBorders>
              <w:top w:val="nil"/>
              <w:bottom w:val="single" w:sz="12" w:space="0" w:color="auto"/>
              <w:right w:val="nil"/>
            </w:tcBorders>
            <w:vAlign w:val="center"/>
          </w:tcPr>
          <w:p w14:paraId="7D2BAAF5" w14:textId="77777777" w:rsidR="006E7759" w:rsidRPr="00E13198" w:rsidRDefault="006E7759" w:rsidP="006E7759">
            <w:pPr>
              <w:jc w:val="center"/>
              <w:rPr>
                <w:b/>
                <w:sz w:val="24"/>
                <w:szCs w:val="24"/>
              </w:rPr>
            </w:pPr>
            <w:r w:rsidRPr="00E13198">
              <w:rPr>
                <w:b/>
                <w:sz w:val="24"/>
                <w:szCs w:val="24"/>
              </w:rPr>
              <w:t>NAAQS (µg/m</w:t>
            </w:r>
            <w:r w:rsidRPr="00E13198">
              <w:rPr>
                <w:b/>
                <w:sz w:val="24"/>
                <w:szCs w:val="24"/>
                <w:vertAlign w:val="superscript"/>
              </w:rPr>
              <w:t>3</w:t>
            </w:r>
            <w:r w:rsidRPr="00E13198">
              <w:rPr>
                <w:b/>
                <w:sz w:val="24"/>
                <w:szCs w:val="24"/>
              </w:rPr>
              <w:t>)</w:t>
            </w:r>
          </w:p>
        </w:tc>
        <w:tc>
          <w:tcPr>
            <w:tcW w:w="2716" w:type="dxa"/>
            <w:tcBorders>
              <w:top w:val="nil"/>
              <w:bottom w:val="single" w:sz="12" w:space="0" w:color="auto"/>
              <w:right w:val="nil"/>
            </w:tcBorders>
            <w:vAlign w:val="center"/>
          </w:tcPr>
          <w:p w14:paraId="0F4A6188" w14:textId="77777777" w:rsidR="006E7759" w:rsidRPr="00E13198" w:rsidRDefault="006E7759" w:rsidP="006E7759">
            <w:pPr>
              <w:jc w:val="center"/>
              <w:rPr>
                <w:b/>
                <w:sz w:val="24"/>
                <w:szCs w:val="24"/>
              </w:rPr>
            </w:pPr>
            <w:r w:rsidRPr="00E13198">
              <w:rPr>
                <w:b/>
                <w:sz w:val="24"/>
                <w:szCs w:val="24"/>
              </w:rPr>
              <w:t>Design Value Form</w:t>
            </w:r>
          </w:p>
        </w:tc>
        <w:tc>
          <w:tcPr>
            <w:tcW w:w="1595" w:type="dxa"/>
            <w:tcBorders>
              <w:top w:val="single" w:sz="12" w:space="0" w:color="auto"/>
              <w:bottom w:val="single" w:sz="12" w:space="0" w:color="auto"/>
              <w:right w:val="single" w:sz="4" w:space="0" w:color="auto"/>
            </w:tcBorders>
            <w:vAlign w:val="center"/>
          </w:tcPr>
          <w:p w14:paraId="338C60DE" w14:textId="77777777" w:rsidR="006E7759" w:rsidRPr="00E13198" w:rsidRDefault="006E7759" w:rsidP="006E7759">
            <w:pPr>
              <w:jc w:val="center"/>
              <w:rPr>
                <w:b/>
                <w:sz w:val="24"/>
                <w:szCs w:val="24"/>
              </w:rPr>
            </w:pPr>
            <w:r w:rsidRPr="00E13198">
              <w:rPr>
                <w:b/>
                <w:sz w:val="24"/>
                <w:szCs w:val="24"/>
              </w:rPr>
              <w:t>Reference</w:t>
            </w:r>
          </w:p>
        </w:tc>
      </w:tr>
      <w:tr w:rsidR="00B241C2" w:rsidRPr="007F7F76" w14:paraId="1C867B21" w14:textId="77777777" w:rsidTr="00E13198">
        <w:trPr>
          <w:cantSplit/>
          <w:jc w:val="center"/>
        </w:trPr>
        <w:tc>
          <w:tcPr>
            <w:tcW w:w="1028" w:type="dxa"/>
            <w:vMerge w:val="restart"/>
            <w:tcBorders>
              <w:top w:val="single" w:sz="12" w:space="0" w:color="auto"/>
              <w:left w:val="single" w:sz="4" w:space="0" w:color="auto"/>
            </w:tcBorders>
            <w:vAlign w:val="center"/>
          </w:tcPr>
          <w:p w14:paraId="10156B74" w14:textId="77777777" w:rsidR="00B241C2" w:rsidRPr="00E13198" w:rsidRDefault="00B241C2" w:rsidP="006E7759">
            <w:pPr>
              <w:jc w:val="center"/>
              <w:rPr>
                <w:sz w:val="24"/>
                <w:szCs w:val="24"/>
              </w:rPr>
            </w:pPr>
            <w:r w:rsidRPr="00E13198">
              <w:rPr>
                <w:sz w:val="24"/>
                <w:szCs w:val="24"/>
              </w:rPr>
              <w:t>CO</w:t>
            </w:r>
          </w:p>
        </w:tc>
        <w:tc>
          <w:tcPr>
            <w:tcW w:w="1105" w:type="dxa"/>
            <w:gridSpan w:val="2"/>
            <w:tcBorders>
              <w:top w:val="single" w:sz="12" w:space="0" w:color="auto"/>
            </w:tcBorders>
            <w:vAlign w:val="center"/>
          </w:tcPr>
          <w:p w14:paraId="20C80D92" w14:textId="77777777" w:rsidR="00B241C2" w:rsidRPr="00E13198" w:rsidRDefault="00B241C2" w:rsidP="006E7759">
            <w:pPr>
              <w:rPr>
                <w:sz w:val="24"/>
                <w:szCs w:val="24"/>
              </w:rPr>
            </w:pPr>
            <w:r w:rsidRPr="00E13198">
              <w:rPr>
                <w:sz w:val="24"/>
                <w:szCs w:val="24"/>
              </w:rPr>
              <w:t>1-hour</w:t>
            </w:r>
          </w:p>
        </w:tc>
        <w:tc>
          <w:tcPr>
            <w:tcW w:w="1206" w:type="dxa"/>
            <w:vMerge w:val="restart"/>
            <w:tcBorders>
              <w:top w:val="single" w:sz="12" w:space="0" w:color="auto"/>
            </w:tcBorders>
            <w:vAlign w:val="center"/>
          </w:tcPr>
          <w:p w14:paraId="35BD5801" w14:textId="77777777" w:rsidR="00B241C2" w:rsidRPr="00E13198" w:rsidRDefault="00B241C2" w:rsidP="006E7759">
            <w:pPr>
              <w:jc w:val="center"/>
              <w:rPr>
                <w:sz w:val="24"/>
                <w:szCs w:val="24"/>
              </w:rPr>
            </w:pPr>
            <w:r w:rsidRPr="00E13198">
              <w:rPr>
                <w:sz w:val="24"/>
                <w:szCs w:val="24"/>
              </w:rPr>
              <w:t>primary</w:t>
            </w:r>
          </w:p>
        </w:tc>
        <w:tc>
          <w:tcPr>
            <w:tcW w:w="990" w:type="dxa"/>
            <w:tcBorders>
              <w:top w:val="single" w:sz="12" w:space="0" w:color="auto"/>
              <w:right w:val="nil"/>
            </w:tcBorders>
            <w:vAlign w:val="center"/>
          </w:tcPr>
          <w:p w14:paraId="3BE60085" w14:textId="77777777" w:rsidR="00B241C2" w:rsidRPr="00E13198" w:rsidRDefault="00B241C2" w:rsidP="006E7759">
            <w:pPr>
              <w:jc w:val="center"/>
              <w:rPr>
                <w:sz w:val="24"/>
                <w:szCs w:val="24"/>
              </w:rPr>
            </w:pPr>
            <w:r w:rsidRPr="00E13198">
              <w:rPr>
                <w:sz w:val="24"/>
                <w:szCs w:val="24"/>
              </w:rPr>
              <w:t>40,000</w:t>
            </w:r>
          </w:p>
        </w:tc>
        <w:tc>
          <w:tcPr>
            <w:tcW w:w="2716" w:type="dxa"/>
            <w:tcBorders>
              <w:top w:val="single" w:sz="12" w:space="0" w:color="auto"/>
              <w:right w:val="nil"/>
            </w:tcBorders>
            <w:vAlign w:val="center"/>
          </w:tcPr>
          <w:p w14:paraId="01AEC636" w14:textId="77777777" w:rsidR="00B241C2" w:rsidRPr="00E13198" w:rsidRDefault="00B241C2" w:rsidP="00BF21A3">
            <w:pPr>
              <w:rPr>
                <w:sz w:val="24"/>
                <w:szCs w:val="24"/>
              </w:rPr>
            </w:pPr>
            <w:r w:rsidRPr="00E13198">
              <w:rPr>
                <w:sz w:val="24"/>
                <w:szCs w:val="24"/>
              </w:rPr>
              <w:t>Highest second high (H2H) concentrations for each year  modeled</w:t>
            </w:r>
          </w:p>
        </w:tc>
        <w:tc>
          <w:tcPr>
            <w:tcW w:w="1595" w:type="dxa"/>
            <w:tcBorders>
              <w:top w:val="single" w:sz="12" w:space="0" w:color="auto"/>
              <w:right w:val="single" w:sz="4" w:space="0" w:color="auto"/>
            </w:tcBorders>
          </w:tcPr>
          <w:p w14:paraId="28F6BB91" w14:textId="77777777" w:rsidR="00B241C2" w:rsidRPr="00E13198" w:rsidRDefault="00B241C2" w:rsidP="00CF1A31">
            <w:pPr>
              <w:rPr>
                <w:sz w:val="24"/>
                <w:szCs w:val="24"/>
              </w:rPr>
            </w:pPr>
            <w:r w:rsidRPr="00E13198">
              <w:rPr>
                <w:sz w:val="24"/>
                <w:szCs w:val="24"/>
              </w:rPr>
              <w:t xml:space="preserve">40 CFR Appendix W 9.1 (d) 2016 </w:t>
            </w:r>
          </w:p>
        </w:tc>
      </w:tr>
      <w:tr w:rsidR="00B241C2" w:rsidRPr="007F7F76" w14:paraId="1B0677B3" w14:textId="77777777" w:rsidTr="00E13198">
        <w:trPr>
          <w:cantSplit/>
          <w:jc w:val="center"/>
        </w:trPr>
        <w:tc>
          <w:tcPr>
            <w:tcW w:w="1028" w:type="dxa"/>
            <w:vMerge/>
            <w:tcBorders>
              <w:left w:val="single" w:sz="4" w:space="0" w:color="auto"/>
            </w:tcBorders>
            <w:vAlign w:val="center"/>
          </w:tcPr>
          <w:p w14:paraId="6E2E561C" w14:textId="77777777" w:rsidR="00B241C2" w:rsidRPr="00E13198" w:rsidRDefault="00B241C2" w:rsidP="006E7759">
            <w:pPr>
              <w:jc w:val="center"/>
              <w:rPr>
                <w:sz w:val="24"/>
                <w:szCs w:val="24"/>
              </w:rPr>
            </w:pPr>
          </w:p>
        </w:tc>
        <w:tc>
          <w:tcPr>
            <w:tcW w:w="1105" w:type="dxa"/>
            <w:gridSpan w:val="2"/>
            <w:vAlign w:val="center"/>
          </w:tcPr>
          <w:p w14:paraId="02AA6810" w14:textId="77777777" w:rsidR="00B241C2" w:rsidRPr="00E13198" w:rsidRDefault="00B241C2" w:rsidP="006E7759">
            <w:pPr>
              <w:rPr>
                <w:sz w:val="24"/>
                <w:szCs w:val="24"/>
              </w:rPr>
            </w:pPr>
            <w:r w:rsidRPr="00E13198">
              <w:rPr>
                <w:sz w:val="24"/>
                <w:szCs w:val="24"/>
              </w:rPr>
              <w:t>8-hour</w:t>
            </w:r>
          </w:p>
        </w:tc>
        <w:tc>
          <w:tcPr>
            <w:tcW w:w="1206" w:type="dxa"/>
            <w:vMerge/>
            <w:vAlign w:val="center"/>
          </w:tcPr>
          <w:p w14:paraId="5E66D2E7" w14:textId="77777777" w:rsidR="00B241C2" w:rsidRPr="00E13198" w:rsidRDefault="00B241C2" w:rsidP="006E7759">
            <w:pPr>
              <w:jc w:val="center"/>
              <w:rPr>
                <w:sz w:val="24"/>
                <w:szCs w:val="24"/>
              </w:rPr>
            </w:pPr>
          </w:p>
        </w:tc>
        <w:tc>
          <w:tcPr>
            <w:tcW w:w="990" w:type="dxa"/>
            <w:tcBorders>
              <w:bottom w:val="single" w:sz="4" w:space="0" w:color="auto"/>
              <w:right w:val="nil"/>
            </w:tcBorders>
            <w:vAlign w:val="center"/>
          </w:tcPr>
          <w:p w14:paraId="29B5BE64" w14:textId="77777777" w:rsidR="00B241C2" w:rsidRPr="00E13198" w:rsidRDefault="00B241C2" w:rsidP="006E7759">
            <w:pPr>
              <w:jc w:val="center"/>
              <w:rPr>
                <w:sz w:val="24"/>
                <w:szCs w:val="24"/>
              </w:rPr>
            </w:pPr>
            <w:r w:rsidRPr="00E13198">
              <w:rPr>
                <w:sz w:val="24"/>
                <w:szCs w:val="24"/>
              </w:rPr>
              <w:t>10,000</w:t>
            </w:r>
          </w:p>
        </w:tc>
        <w:tc>
          <w:tcPr>
            <w:tcW w:w="2716" w:type="dxa"/>
            <w:tcBorders>
              <w:bottom w:val="single" w:sz="4" w:space="0" w:color="auto"/>
              <w:right w:val="nil"/>
            </w:tcBorders>
            <w:vAlign w:val="center"/>
          </w:tcPr>
          <w:p w14:paraId="3C55BDF9" w14:textId="77777777" w:rsidR="00B241C2" w:rsidRPr="00E13198" w:rsidRDefault="00B241C2" w:rsidP="00BF21A3">
            <w:pPr>
              <w:rPr>
                <w:sz w:val="24"/>
                <w:szCs w:val="24"/>
              </w:rPr>
            </w:pPr>
            <w:r w:rsidRPr="00E13198">
              <w:rPr>
                <w:sz w:val="24"/>
                <w:szCs w:val="24"/>
              </w:rPr>
              <w:t>Highest second high (H2H) concentrations for each year  modeled</w:t>
            </w:r>
          </w:p>
        </w:tc>
        <w:tc>
          <w:tcPr>
            <w:tcW w:w="1595" w:type="dxa"/>
            <w:tcBorders>
              <w:bottom w:val="single" w:sz="4" w:space="0" w:color="auto"/>
              <w:right w:val="single" w:sz="4" w:space="0" w:color="auto"/>
            </w:tcBorders>
          </w:tcPr>
          <w:p w14:paraId="4065C369" w14:textId="77777777" w:rsidR="00B241C2" w:rsidRPr="00E13198" w:rsidRDefault="00B241C2" w:rsidP="00CB1943">
            <w:pPr>
              <w:rPr>
                <w:sz w:val="24"/>
                <w:szCs w:val="24"/>
              </w:rPr>
            </w:pPr>
            <w:r w:rsidRPr="00E13198">
              <w:rPr>
                <w:sz w:val="24"/>
                <w:szCs w:val="24"/>
              </w:rPr>
              <w:t>40 CFR Appendix W 9.1 (d) 2016</w:t>
            </w:r>
          </w:p>
        </w:tc>
      </w:tr>
      <w:tr w:rsidR="00B241C2" w:rsidRPr="007F7F76" w14:paraId="409263B5" w14:textId="77777777" w:rsidTr="00E13198">
        <w:trPr>
          <w:cantSplit/>
          <w:jc w:val="center"/>
        </w:trPr>
        <w:tc>
          <w:tcPr>
            <w:tcW w:w="1028" w:type="dxa"/>
            <w:vMerge w:val="restart"/>
            <w:tcBorders>
              <w:left w:val="single" w:sz="4" w:space="0" w:color="auto"/>
            </w:tcBorders>
            <w:vAlign w:val="center"/>
          </w:tcPr>
          <w:p w14:paraId="622ADEB9" w14:textId="77777777" w:rsidR="00B241C2" w:rsidRPr="00E13198" w:rsidRDefault="00B241C2" w:rsidP="006E7759">
            <w:pPr>
              <w:jc w:val="center"/>
              <w:rPr>
                <w:sz w:val="24"/>
                <w:szCs w:val="24"/>
              </w:rPr>
            </w:pPr>
            <w:r w:rsidRPr="00E13198">
              <w:rPr>
                <w:sz w:val="24"/>
                <w:szCs w:val="24"/>
              </w:rPr>
              <w:lastRenderedPageBreak/>
              <w:t>NO</w:t>
            </w:r>
            <w:r w:rsidRPr="00E13198">
              <w:rPr>
                <w:sz w:val="24"/>
                <w:szCs w:val="24"/>
                <w:vertAlign w:val="subscript"/>
              </w:rPr>
              <w:t>2</w:t>
            </w:r>
          </w:p>
        </w:tc>
        <w:tc>
          <w:tcPr>
            <w:tcW w:w="1105" w:type="dxa"/>
            <w:gridSpan w:val="2"/>
            <w:vAlign w:val="center"/>
          </w:tcPr>
          <w:p w14:paraId="21AF511A" w14:textId="77777777" w:rsidR="00B241C2" w:rsidRPr="00E13198" w:rsidRDefault="00B241C2" w:rsidP="006E7759">
            <w:pPr>
              <w:rPr>
                <w:sz w:val="24"/>
                <w:szCs w:val="24"/>
              </w:rPr>
            </w:pPr>
            <w:r w:rsidRPr="00E13198">
              <w:rPr>
                <w:sz w:val="24"/>
                <w:szCs w:val="24"/>
              </w:rPr>
              <w:t>1-hour</w:t>
            </w:r>
          </w:p>
        </w:tc>
        <w:tc>
          <w:tcPr>
            <w:tcW w:w="1206" w:type="dxa"/>
            <w:vAlign w:val="center"/>
          </w:tcPr>
          <w:p w14:paraId="5DC70984" w14:textId="77777777" w:rsidR="00B241C2" w:rsidRPr="00E13198" w:rsidRDefault="00B241C2" w:rsidP="006E7759">
            <w:pPr>
              <w:jc w:val="center"/>
              <w:rPr>
                <w:sz w:val="24"/>
                <w:szCs w:val="24"/>
              </w:rPr>
            </w:pPr>
            <w:r w:rsidRPr="00E13198">
              <w:rPr>
                <w:sz w:val="24"/>
                <w:szCs w:val="24"/>
              </w:rPr>
              <w:t>primary</w:t>
            </w:r>
          </w:p>
        </w:tc>
        <w:tc>
          <w:tcPr>
            <w:tcW w:w="990" w:type="dxa"/>
            <w:tcBorders>
              <w:right w:val="nil"/>
            </w:tcBorders>
            <w:vAlign w:val="center"/>
          </w:tcPr>
          <w:p w14:paraId="37C4FA33" w14:textId="77777777" w:rsidR="00B241C2" w:rsidRPr="00E13198" w:rsidRDefault="00B241C2" w:rsidP="006E7759">
            <w:pPr>
              <w:jc w:val="center"/>
              <w:rPr>
                <w:sz w:val="24"/>
                <w:szCs w:val="24"/>
              </w:rPr>
            </w:pPr>
            <w:r w:rsidRPr="00E13198">
              <w:rPr>
                <w:sz w:val="24"/>
                <w:szCs w:val="24"/>
              </w:rPr>
              <w:t>188</w:t>
            </w:r>
          </w:p>
        </w:tc>
        <w:tc>
          <w:tcPr>
            <w:tcW w:w="2716" w:type="dxa"/>
            <w:tcBorders>
              <w:right w:val="nil"/>
            </w:tcBorders>
            <w:vAlign w:val="center"/>
          </w:tcPr>
          <w:p w14:paraId="1ABF49ED" w14:textId="77777777" w:rsidR="00B241C2" w:rsidRPr="00E13198" w:rsidRDefault="00B241C2" w:rsidP="00BF21A3">
            <w:pPr>
              <w:autoSpaceDE w:val="0"/>
              <w:autoSpaceDN w:val="0"/>
              <w:adjustRightInd w:val="0"/>
              <w:rPr>
                <w:rFonts w:eastAsiaTheme="minorHAnsi"/>
                <w:color w:val="000000"/>
                <w:sz w:val="24"/>
                <w:szCs w:val="24"/>
              </w:rPr>
            </w:pPr>
            <w:r w:rsidRPr="00E13198">
              <w:rPr>
                <w:rFonts w:eastAsiaTheme="minorHAnsi"/>
                <w:color w:val="000000"/>
                <w:sz w:val="24"/>
                <w:szCs w:val="24"/>
              </w:rPr>
              <w:t>Highest eighth high (H8H) of the 98th percentile of the annual distribution of  maximum daily 1-hour concentrations averaged across five years</w:t>
            </w:r>
          </w:p>
          <w:p w14:paraId="3783C2F1" w14:textId="77777777" w:rsidR="00B241C2" w:rsidRPr="00E13198" w:rsidRDefault="00B241C2" w:rsidP="00BF21A3">
            <w:pPr>
              <w:rPr>
                <w:sz w:val="24"/>
                <w:szCs w:val="24"/>
              </w:rPr>
            </w:pPr>
          </w:p>
        </w:tc>
        <w:tc>
          <w:tcPr>
            <w:tcW w:w="1595" w:type="dxa"/>
            <w:tcBorders>
              <w:right w:val="single" w:sz="4" w:space="0" w:color="auto"/>
            </w:tcBorders>
          </w:tcPr>
          <w:p w14:paraId="54DA7A15" w14:textId="77777777" w:rsidR="00B241C2" w:rsidRPr="00E13198" w:rsidRDefault="00971AA0" w:rsidP="006E7759">
            <w:pPr>
              <w:autoSpaceDE w:val="0"/>
              <w:autoSpaceDN w:val="0"/>
              <w:adjustRightInd w:val="0"/>
              <w:rPr>
                <w:color w:val="000000"/>
                <w:sz w:val="24"/>
                <w:szCs w:val="24"/>
              </w:rPr>
            </w:pPr>
            <w:r w:rsidRPr="00E13198">
              <w:rPr>
                <w:sz w:val="24"/>
                <w:szCs w:val="24"/>
              </w:rPr>
              <w:t>U.S. EPA MCHM,</w:t>
            </w:r>
            <w:r w:rsidR="00B241C2" w:rsidRPr="00E13198">
              <w:rPr>
                <w:color w:val="000000"/>
                <w:sz w:val="24"/>
                <w:szCs w:val="24"/>
              </w:rPr>
              <w:t xml:space="preserve"> June 28, 2010</w:t>
            </w:r>
            <w:r w:rsidRPr="00E13198">
              <w:rPr>
                <w:color w:val="000000"/>
                <w:sz w:val="24"/>
                <w:szCs w:val="24"/>
              </w:rPr>
              <w:t xml:space="preserve">a </w:t>
            </w:r>
            <w:r w:rsidR="00B241C2" w:rsidRPr="00E13198">
              <w:rPr>
                <w:color w:val="000000"/>
                <w:sz w:val="24"/>
                <w:szCs w:val="24"/>
              </w:rPr>
              <w:t xml:space="preserve">&amp; </w:t>
            </w:r>
            <w:r w:rsidRPr="00E13198">
              <w:rPr>
                <w:sz w:val="24"/>
                <w:szCs w:val="24"/>
              </w:rPr>
              <w:t>U.S. EPA MCHM,</w:t>
            </w:r>
            <w:r w:rsidRPr="00E13198">
              <w:rPr>
                <w:color w:val="000000"/>
                <w:sz w:val="24"/>
                <w:szCs w:val="24"/>
              </w:rPr>
              <w:t xml:space="preserve"> March 1, 2011d</w:t>
            </w:r>
          </w:p>
          <w:p w14:paraId="5C8A4BFF" w14:textId="77777777" w:rsidR="00B241C2" w:rsidRPr="00E13198" w:rsidRDefault="00B241C2" w:rsidP="006E7759">
            <w:pPr>
              <w:autoSpaceDE w:val="0"/>
              <w:autoSpaceDN w:val="0"/>
              <w:adjustRightInd w:val="0"/>
              <w:rPr>
                <w:rFonts w:eastAsiaTheme="minorHAnsi"/>
                <w:color w:val="000000"/>
                <w:sz w:val="24"/>
                <w:szCs w:val="24"/>
              </w:rPr>
            </w:pPr>
          </w:p>
        </w:tc>
      </w:tr>
      <w:tr w:rsidR="00B241C2" w:rsidRPr="007F7F76" w14:paraId="3DFFB9BA" w14:textId="77777777" w:rsidTr="00E13198">
        <w:trPr>
          <w:cantSplit/>
          <w:jc w:val="center"/>
        </w:trPr>
        <w:tc>
          <w:tcPr>
            <w:tcW w:w="1028" w:type="dxa"/>
            <w:vMerge/>
            <w:tcBorders>
              <w:left w:val="single" w:sz="4" w:space="0" w:color="auto"/>
            </w:tcBorders>
            <w:vAlign w:val="center"/>
          </w:tcPr>
          <w:p w14:paraId="4B07EA13" w14:textId="77777777" w:rsidR="00B241C2" w:rsidRPr="00E13198" w:rsidRDefault="00B241C2" w:rsidP="006E7759">
            <w:pPr>
              <w:jc w:val="center"/>
              <w:rPr>
                <w:sz w:val="24"/>
                <w:szCs w:val="24"/>
              </w:rPr>
            </w:pPr>
          </w:p>
        </w:tc>
        <w:tc>
          <w:tcPr>
            <w:tcW w:w="1105" w:type="dxa"/>
            <w:gridSpan w:val="2"/>
            <w:vAlign w:val="center"/>
          </w:tcPr>
          <w:p w14:paraId="09ABB425" w14:textId="77777777" w:rsidR="00B241C2" w:rsidRPr="00E13198" w:rsidRDefault="00B241C2" w:rsidP="006E7759">
            <w:pPr>
              <w:rPr>
                <w:sz w:val="24"/>
                <w:szCs w:val="24"/>
              </w:rPr>
            </w:pPr>
            <w:r w:rsidRPr="00E13198">
              <w:rPr>
                <w:sz w:val="24"/>
                <w:szCs w:val="24"/>
              </w:rPr>
              <w:t>annual</w:t>
            </w:r>
          </w:p>
        </w:tc>
        <w:tc>
          <w:tcPr>
            <w:tcW w:w="1206" w:type="dxa"/>
            <w:vAlign w:val="center"/>
          </w:tcPr>
          <w:p w14:paraId="1B2AAFBC" w14:textId="77777777" w:rsidR="00B241C2" w:rsidRPr="00E13198" w:rsidRDefault="00B241C2" w:rsidP="006E7759">
            <w:pPr>
              <w:jc w:val="center"/>
              <w:rPr>
                <w:sz w:val="24"/>
                <w:szCs w:val="24"/>
              </w:rPr>
            </w:pPr>
            <w:r w:rsidRPr="00E13198">
              <w:rPr>
                <w:sz w:val="24"/>
                <w:szCs w:val="24"/>
              </w:rPr>
              <w:t>primary and secondary</w:t>
            </w:r>
          </w:p>
        </w:tc>
        <w:tc>
          <w:tcPr>
            <w:tcW w:w="990" w:type="dxa"/>
            <w:tcBorders>
              <w:right w:val="nil"/>
            </w:tcBorders>
            <w:vAlign w:val="center"/>
          </w:tcPr>
          <w:p w14:paraId="4FA46CED" w14:textId="77777777" w:rsidR="00B241C2" w:rsidRPr="00E13198" w:rsidRDefault="00B241C2" w:rsidP="006E7759">
            <w:pPr>
              <w:jc w:val="center"/>
              <w:rPr>
                <w:sz w:val="24"/>
                <w:szCs w:val="24"/>
              </w:rPr>
            </w:pPr>
            <w:r w:rsidRPr="00E13198">
              <w:rPr>
                <w:sz w:val="24"/>
                <w:szCs w:val="24"/>
              </w:rPr>
              <w:t>100</w:t>
            </w:r>
          </w:p>
        </w:tc>
        <w:tc>
          <w:tcPr>
            <w:tcW w:w="2716" w:type="dxa"/>
            <w:tcBorders>
              <w:right w:val="nil"/>
            </w:tcBorders>
            <w:vAlign w:val="center"/>
          </w:tcPr>
          <w:p w14:paraId="71F3B1B0" w14:textId="77777777" w:rsidR="00B241C2" w:rsidRPr="00E13198" w:rsidRDefault="00B241C2" w:rsidP="00BF21A3">
            <w:pPr>
              <w:rPr>
                <w:sz w:val="24"/>
                <w:szCs w:val="24"/>
              </w:rPr>
            </w:pPr>
            <w:r w:rsidRPr="00E13198">
              <w:rPr>
                <w:sz w:val="24"/>
                <w:szCs w:val="24"/>
              </w:rPr>
              <w:t>Highest first high (H1H) annual average concentration,  each year analyzed separately</w:t>
            </w:r>
          </w:p>
        </w:tc>
        <w:tc>
          <w:tcPr>
            <w:tcW w:w="1595" w:type="dxa"/>
            <w:tcBorders>
              <w:right w:val="single" w:sz="4" w:space="0" w:color="auto"/>
            </w:tcBorders>
          </w:tcPr>
          <w:p w14:paraId="2CF494DD" w14:textId="77777777" w:rsidR="00B241C2" w:rsidRPr="00E13198" w:rsidRDefault="00B241C2" w:rsidP="006E7759">
            <w:pPr>
              <w:rPr>
                <w:sz w:val="24"/>
                <w:szCs w:val="24"/>
              </w:rPr>
            </w:pPr>
            <w:r w:rsidRPr="00E13198">
              <w:rPr>
                <w:sz w:val="24"/>
                <w:szCs w:val="24"/>
              </w:rPr>
              <w:t>40 CFR Appendix W 9.1 (d) 2016</w:t>
            </w:r>
          </w:p>
        </w:tc>
      </w:tr>
      <w:tr w:rsidR="00B241C2" w:rsidRPr="007F7F76" w14:paraId="716AC239" w14:textId="77777777" w:rsidTr="00E13198">
        <w:trPr>
          <w:cantSplit/>
          <w:jc w:val="center"/>
        </w:trPr>
        <w:tc>
          <w:tcPr>
            <w:tcW w:w="1028" w:type="dxa"/>
            <w:vMerge w:val="restart"/>
            <w:tcBorders>
              <w:left w:val="single" w:sz="4" w:space="0" w:color="auto"/>
            </w:tcBorders>
            <w:vAlign w:val="center"/>
          </w:tcPr>
          <w:p w14:paraId="1684ED70" w14:textId="77777777" w:rsidR="00B241C2" w:rsidRPr="00E13198" w:rsidRDefault="00B241C2" w:rsidP="006E7759">
            <w:pPr>
              <w:jc w:val="center"/>
              <w:rPr>
                <w:sz w:val="24"/>
                <w:szCs w:val="24"/>
              </w:rPr>
            </w:pPr>
            <w:r w:rsidRPr="00E13198">
              <w:rPr>
                <w:sz w:val="24"/>
                <w:szCs w:val="24"/>
              </w:rPr>
              <w:t>SO</w:t>
            </w:r>
            <w:r w:rsidRPr="00E13198">
              <w:rPr>
                <w:sz w:val="24"/>
                <w:szCs w:val="24"/>
                <w:vertAlign w:val="subscript"/>
              </w:rPr>
              <w:t>2</w:t>
            </w:r>
          </w:p>
        </w:tc>
        <w:tc>
          <w:tcPr>
            <w:tcW w:w="1105" w:type="dxa"/>
            <w:gridSpan w:val="2"/>
            <w:vAlign w:val="center"/>
          </w:tcPr>
          <w:p w14:paraId="0495A580" w14:textId="77777777" w:rsidR="00B241C2" w:rsidRPr="00E13198" w:rsidRDefault="00B241C2" w:rsidP="006E7759">
            <w:pPr>
              <w:rPr>
                <w:sz w:val="24"/>
                <w:szCs w:val="24"/>
              </w:rPr>
            </w:pPr>
            <w:r w:rsidRPr="00E13198">
              <w:rPr>
                <w:sz w:val="24"/>
                <w:szCs w:val="24"/>
              </w:rPr>
              <w:t>1-hour</w:t>
            </w:r>
          </w:p>
        </w:tc>
        <w:tc>
          <w:tcPr>
            <w:tcW w:w="1206" w:type="dxa"/>
            <w:vAlign w:val="center"/>
          </w:tcPr>
          <w:p w14:paraId="7BFAE1BC" w14:textId="77777777" w:rsidR="00B241C2" w:rsidRPr="00E13198" w:rsidRDefault="00B241C2" w:rsidP="006E7759">
            <w:pPr>
              <w:jc w:val="center"/>
              <w:rPr>
                <w:sz w:val="24"/>
                <w:szCs w:val="24"/>
              </w:rPr>
            </w:pPr>
            <w:r w:rsidRPr="00E13198">
              <w:rPr>
                <w:sz w:val="24"/>
                <w:szCs w:val="24"/>
              </w:rPr>
              <w:t>primary</w:t>
            </w:r>
          </w:p>
        </w:tc>
        <w:tc>
          <w:tcPr>
            <w:tcW w:w="990" w:type="dxa"/>
            <w:tcBorders>
              <w:right w:val="nil"/>
            </w:tcBorders>
            <w:vAlign w:val="center"/>
          </w:tcPr>
          <w:p w14:paraId="62B2D903" w14:textId="77777777" w:rsidR="00B241C2" w:rsidRPr="00E13198" w:rsidRDefault="00B241C2" w:rsidP="006E7759">
            <w:pPr>
              <w:jc w:val="center"/>
              <w:rPr>
                <w:sz w:val="24"/>
                <w:szCs w:val="24"/>
              </w:rPr>
            </w:pPr>
            <w:r w:rsidRPr="00E13198">
              <w:rPr>
                <w:sz w:val="24"/>
                <w:szCs w:val="24"/>
              </w:rPr>
              <w:t>196</w:t>
            </w:r>
          </w:p>
        </w:tc>
        <w:tc>
          <w:tcPr>
            <w:tcW w:w="2716" w:type="dxa"/>
            <w:tcBorders>
              <w:right w:val="nil"/>
            </w:tcBorders>
            <w:vAlign w:val="center"/>
          </w:tcPr>
          <w:p w14:paraId="023C41B4" w14:textId="77777777" w:rsidR="00B241C2" w:rsidRPr="00E13198" w:rsidRDefault="00B241C2" w:rsidP="00BF21A3">
            <w:pPr>
              <w:autoSpaceDE w:val="0"/>
              <w:autoSpaceDN w:val="0"/>
              <w:adjustRightInd w:val="0"/>
              <w:rPr>
                <w:rFonts w:eastAsiaTheme="minorHAnsi"/>
                <w:color w:val="000000"/>
                <w:sz w:val="24"/>
                <w:szCs w:val="24"/>
              </w:rPr>
            </w:pPr>
            <w:r w:rsidRPr="00E13198">
              <w:rPr>
                <w:rFonts w:eastAsiaTheme="minorHAnsi"/>
                <w:color w:val="000000"/>
                <w:sz w:val="24"/>
                <w:szCs w:val="24"/>
              </w:rPr>
              <w:t>Highest fourth high (H4H) of the 99th percentile of the annual distribution of  maximum daily 1-hour concentrations averaged across five years</w:t>
            </w:r>
          </w:p>
        </w:tc>
        <w:tc>
          <w:tcPr>
            <w:tcW w:w="1595" w:type="dxa"/>
            <w:tcBorders>
              <w:right w:val="single" w:sz="4" w:space="0" w:color="auto"/>
            </w:tcBorders>
          </w:tcPr>
          <w:p w14:paraId="5CB1424C" w14:textId="77777777" w:rsidR="00B241C2" w:rsidRPr="00E13198" w:rsidRDefault="00971AA0" w:rsidP="006E7759">
            <w:pPr>
              <w:autoSpaceDE w:val="0"/>
              <w:autoSpaceDN w:val="0"/>
              <w:adjustRightInd w:val="0"/>
              <w:rPr>
                <w:color w:val="000000"/>
                <w:sz w:val="24"/>
                <w:szCs w:val="24"/>
              </w:rPr>
            </w:pPr>
            <w:r w:rsidRPr="00E13198">
              <w:rPr>
                <w:sz w:val="24"/>
                <w:szCs w:val="24"/>
              </w:rPr>
              <w:t>U.S. EPA MCHM,</w:t>
            </w:r>
            <w:r w:rsidR="00B241C2" w:rsidRPr="00E13198">
              <w:rPr>
                <w:color w:val="000000"/>
                <w:sz w:val="24"/>
                <w:szCs w:val="24"/>
              </w:rPr>
              <w:t xml:space="preserve"> August 23, 2010. </w:t>
            </w:r>
          </w:p>
          <w:p w14:paraId="17494863" w14:textId="77777777" w:rsidR="00B241C2" w:rsidRPr="00E13198" w:rsidRDefault="00B241C2" w:rsidP="006E7759">
            <w:pPr>
              <w:rPr>
                <w:sz w:val="24"/>
                <w:szCs w:val="24"/>
              </w:rPr>
            </w:pPr>
          </w:p>
        </w:tc>
      </w:tr>
      <w:tr w:rsidR="00B241C2" w:rsidRPr="007F7F76" w14:paraId="24766F44" w14:textId="77777777" w:rsidTr="00E13198">
        <w:trPr>
          <w:cantSplit/>
          <w:jc w:val="center"/>
        </w:trPr>
        <w:tc>
          <w:tcPr>
            <w:tcW w:w="1028" w:type="dxa"/>
            <w:vMerge/>
            <w:tcBorders>
              <w:left w:val="single" w:sz="4" w:space="0" w:color="auto"/>
            </w:tcBorders>
            <w:vAlign w:val="center"/>
          </w:tcPr>
          <w:p w14:paraId="27A9F0C1" w14:textId="77777777" w:rsidR="00B241C2" w:rsidRPr="00E13198" w:rsidRDefault="00B241C2" w:rsidP="006E7759">
            <w:pPr>
              <w:jc w:val="center"/>
              <w:rPr>
                <w:sz w:val="24"/>
                <w:szCs w:val="24"/>
              </w:rPr>
            </w:pPr>
          </w:p>
        </w:tc>
        <w:tc>
          <w:tcPr>
            <w:tcW w:w="1105" w:type="dxa"/>
            <w:gridSpan w:val="2"/>
            <w:vAlign w:val="center"/>
          </w:tcPr>
          <w:p w14:paraId="3D85F341" w14:textId="77777777" w:rsidR="00B241C2" w:rsidRPr="00E13198" w:rsidRDefault="00B241C2" w:rsidP="006E7759">
            <w:pPr>
              <w:rPr>
                <w:sz w:val="24"/>
                <w:szCs w:val="24"/>
              </w:rPr>
            </w:pPr>
            <w:r w:rsidRPr="00E13198">
              <w:rPr>
                <w:sz w:val="24"/>
                <w:szCs w:val="24"/>
              </w:rPr>
              <w:t>3-hour</w:t>
            </w:r>
          </w:p>
        </w:tc>
        <w:tc>
          <w:tcPr>
            <w:tcW w:w="1206" w:type="dxa"/>
            <w:vAlign w:val="center"/>
          </w:tcPr>
          <w:p w14:paraId="56D1E7F8" w14:textId="77777777" w:rsidR="00B241C2" w:rsidRPr="00E13198" w:rsidRDefault="00B241C2" w:rsidP="006E7759">
            <w:pPr>
              <w:jc w:val="center"/>
              <w:rPr>
                <w:sz w:val="24"/>
                <w:szCs w:val="24"/>
              </w:rPr>
            </w:pPr>
            <w:r w:rsidRPr="00E13198">
              <w:rPr>
                <w:sz w:val="24"/>
                <w:szCs w:val="24"/>
              </w:rPr>
              <w:t>secondary</w:t>
            </w:r>
          </w:p>
        </w:tc>
        <w:tc>
          <w:tcPr>
            <w:tcW w:w="990" w:type="dxa"/>
            <w:tcBorders>
              <w:right w:val="nil"/>
            </w:tcBorders>
            <w:vAlign w:val="center"/>
          </w:tcPr>
          <w:p w14:paraId="4DBCE963" w14:textId="77777777" w:rsidR="00B241C2" w:rsidRPr="00E13198" w:rsidRDefault="00B241C2" w:rsidP="006E7759">
            <w:pPr>
              <w:jc w:val="center"/>
              <w:rPr>
                <w:sz w:val="24"/>
                <w:szCs w:val="24"/>
              </w:rPr>
            </w:pPr>
            <w:r w:rsidRPr="00E13198">
              <w:rPr>
                <w:sz w:val="24"/>
                <w:szCs w:val="24"/>
              </w:rPr>
              <w:t>1300</w:t>
            </w:r>
          </w:p>
        </w:tc>
        <w:tc>
          <w:tcPr>
            <w:tcW w:w="2716" w:type="dxa"/>
            <w:tcBorders>
              <w:right w:val="nil"/>
            </w:tcBorders>
            <w:vAlign w:val="center"/>
          </w:tcPr>
          <w:p w14:paraId="63526210" w14:textId="77777777" w:rsidR="00B241C2" w:rsidRPr="00E13198" w:rsidRDefault="00B241C2" w:rsidP="00BF21A3">
            <w:pPr>
              <w:rPr>
                <w:sz w:val="24"/>
                <w:szCs w:val="24"/>
              </w:rPr>
            </w:pPr>
            <w:r w:rsidRPr="00E13198">
              <w:rPr>
                <w:sz w:val="24"/>
                <w:szCs w:val="24"/>
              </w:rPr>
              <w:t>Highest second high (H2H) concentration , each year analyzed separately</w:t>
            </w:r>
          </w:p>
        </w:tc>
        <w:tc>
          <w:tcPr>
            <w:tcW w:w="1595" w:type="dxa"/>
            <w:tcBorders>
              <w:right w:val="single" w:sz="4" w:space="0" w:color="auto"/>
            </w:tcBorders>
          </w:tcPr>
          <w:p w14:paraId="6A88FD9D" w14:textId="77777777" w:rsidR="00B241C2" w:rsidRPr="00E13198" w:rsidRDefault="00B241C2" w:rsidP="00CB1943">
            <w:pPr>
              <w:rPr>
                <w:sz w:val="24"/>
                <w:szCs w:val="24"/>
              </w:rPr>
            </w:pPr>
            <w:r w:rsidRPr="00E13198">
              <w:rPr>
                <w:sz w:val="24"/>
                <w:szCs w:val="24"/>
              </w:rPr>
              <w:t>40 CFR Appendix W 9.1 (d) 2016</w:t>
            </w:r>
          </w:p>
        </w:tc>
      </w:tr>
      <w:tr w:rsidR="00B241C2" w:rsidRPr="007F7F76" w14:paraId="77FE6D68" w14:textId="77777777" w:rsidTr="00E13198">
        <w:trPr>
          <w:cantSplit/>
          <w:jc w:val="center"/>
        </w:trPr>
        <w:tc>
          <w:tcPr>
            <w:tcW w:w="1028" w:type="dxa"/>
            <w:tcBorders>
              <w:left w:val="single" w:sz="4" w:space="0" w:color="auto"/>
            </w:tcBorders>
            <w:vAlign w:val="center"/>
          </w:tcPr>
          <w:p w14:paraId="6E974783" w14:textId="77777777" w:rsidR="00B241C2" w:rsidRPr="00E13198" w:rsidRDefault="00B241C2" w:rsidP="006E7759">
            <w:pPr>
              <w:jc w:val="center"/>
              <w:rPr>
                <w:sz w:val="24"/>
                <w:szCs w:val="24"/>
              </w:rPr>
            </w:pPr>
            <w:r w:rsidRPr="00E13198">
              <w:rPr>
                <w:sz w:val="24"/>
                <w:szCs w:val="24"/>
              </w:rPr>
              <w:t>PM</w:t>
            </w:r>
            <w:r w:rsidRPr="00E13198">
              <w:rPr>
                <w:sz w:val="24"/>
                <w:szCs w:val="24"/>
                <w:vertAlign w:val="subscript"/>
              </w:rPr>
              <w:t>10</w:t>
            </w:r>
          </w:p>
        </w:tc>
        <w:tc>
          <w:tcPr>
            <w:tcW w:w="1105" w:type="dxa"/>
            <w:gridSpan w:val="2"/>
            <w:vAlign w:val="center"/>
          </w:tcPr>
          <w:p w14:paraId="3C9F5531" w14:textId="77777777" w:rsidR="00B241C2" w:rsidRPr="00E13198" w:rsidRDefault="00B241C2" w:rsidP="006E7759">
            <w:pPr>
              <w:rPr>
                <w:sz w:val="24"/>
                <w:szCs w:val="24"/>
              </w:rPr>
            </w:pPr>
            <w:r w:rsidRPr="00E13198">
              <w:rPr>
                <w:sz w:val="24"/>
                <w:szCs w:val="24"/>
              </w:rPr>
              <w:t>24-hour</w:t>
            </w:r>
          </w:p>
        </w:tc>
        <w:tc>
          <w:tcPr>
            <w:tcW w:w="1206" w:type="dxa"/>
            <w:vAlign w:val="center"/>
          </w:tcPr>
          <w:p w14:paraId="47940228" w14:textId="77777777" w:rsidR="00B241C2" w:rsidRPr="00E13198" w:rsidRDefault="00B241C2" w:rsidP="006E7759">
            <w:pPr>
              <w:jc w:val="center"/>
              <w:rPr>
                <w:sz w:val="24"/>
                <w:szCs w:val="24"/>
              </w:rPr>
            </w:pPr>
            <w:r w:rsidRPr="00E13198">
              <w:rPr>
                <w:sz w:val="24"/>
                <w:szCs w:val="24"/>
              </w:rPr>
              <w:t>primary and secondary</w:t>
            </w:r>
          </w:p>
        </w:tc>
        <w:tc>
          <w:tcPr>
            <w:tcW w:w="990" w:type="dxa"/>
            <w:tcBorders>
              <w:right w:val="nil"/>
            </w:tcBorders>
            <w:vAlign w:val="center"/>
          </w:tcPr>
          <w:p w14:paraId="14238BB4" w14:textId="77777777" w:rsidR="00B241C2" w:rsidRPr="00E13198" w:rsidRDefault="00B241C2" w:rsidP="006E7759">
            <w:pPr>
              <w:jc w:val="center"/>
              <w:rPr>
                <w:sz w:val="24"/>
                <w:szCs w:val="24"/>
              </w:rPr>
            </w:pPr>
            <w:r w:rsidRPr="00E13198">
              <w:rPr>
                <w:sz w:val="24"/>
                <w:szCs w:val="24"/>
              </w:rPr>
              <w:t>150</w:t>
            </w:r>
          </w:p>
        </w:tc>
        <w:tc>
          <w:tcPr>
            <w:tcW w:w="2716" w:type="dxa"/>
            <w:tcBorders>
              <w:right w:val="nil"/>
            </w:tcBorders>
            <w:vAlign w:val="center"/>
          </w:tcPr>
          <w:p w14:paraId="32B343B2" w14:textId="77777777" w:rsidR="00B241C2" w:rsidRPr="00E13198" w:rsidRDefault="00B241C2" w:rsidP="00BF21A3">
            <w:pPr>
              <w:rPr>
                <w:sz w:val="24"/>
                <w:szCs w:val="24"/>
              </w:rPr>
            </w:pPr>
            <w:r w:rsidRPr="00E13198">
              <w:rPr>
                <w:sz w:val="24"/>
                <w:szCs w:val="24"/>
              </w:rPr>
              <w:t>Highest 6th high (H6H)  concentration for the five years modeled (and, in general, when n years are modeled, the (n+1)</w:t>
            </w:r>
            <w:proofErr w:type="spellStart"/>
            <w:r w:rsidRPr="00E13198">
              <w:rPr>
                <w:sz w:val="24"/>
                <w:szCs w:val="24"/>
              </w:rPr>
              <w:t>th</w:t>
            </w:r>
            <w:proofErr w:type="spellEnd"/>
            <w:r w:rsidRPr="00E13198">
              <w:rPr>
                <w:sz w:val="24"/>
                <w:szCs w:val="24"/>
              </w:rPr>
              <w:t xml:space="preserve"> highest concentration over the n-year period))</w:t>
            </w:r>
          </w:p>
        </w:tc>
        <w:tc>
          <w:tcPr>
            <w:tcW w:w="1595" w:type="dxa"/>
            <w:tcBorders>
              <w:bottom w:val="single" w:sz="4" w:space="0" w:color="auto"/>
              <w:right w:val="single" w:sz="4" w:space="0" w:color="auto"/>
            </w:tcBorders>
          </w:tcPr>
          <w:p w14:paraId="2238CC32" w14:textId="77777777" w:rsidR="00B241C2" w:rsidRPr="00E13198" w:rsidRDefault="00B241C2" w:rsidP="006E7759">
            <w:pPr>
              <w:rPr>
                <w:sz w:val="24"/>
                <w:szCs w:val="24"/>
              </w:rPr>
            </w:pPr>
            <w:r w:rsidRPr="00E13198">
              <w:rPr>
                <w:sz w:val="24"/>
                <w:szCs w:val="24"/>
              </w:rPr>
              <w:t>40 CFR Appendix W 7.2.1 (U.S. EPA, 2005)</w:t>
            </w:r>
            <w:r w:rsidRPr="00E13198">
              <w:rPr>
                <w:sz w:val="24"/>
                <w:szCs w:val="24"/>
                <w:vertAlign w:val="superscript"/>
              </w:rPr>
              <w:t xml:space="preserve"> </w:t>
            </w:r>
          </w:p>
        </w:tc>
      </w:tr>
      <w:tr w:rsidR="00B241C2" w:rsidRPr="007F7F76" w14:paraId="07B2C05F" w14:textId="77777777" w:rsidTr="00E13198">
        <w:trPr>
          <w:cantSplit/>
          <w:jc w:val="center"/>
        </w:trPr>
        <w:tc>
          <w:tcPr>
            <w:tcW w:w="1028" w:type="dxa"/>
            <w:vMerge w:val="restart"/>
            <w:tcBorders>
              <w:left w:val="single" w:sz="4" w:space="0" w:color="auto"/>
            </w:tcBorders>
            <w:vAlign w:val="center"/>
          </w:tcPr>
          <w:p w14:paraId="76B8276A" w14:textId="77777777" w:rsidR="00B241C2" w:rsidRPr="00E13198" w:rsidRDefault="00B241C2" w:rsidP="006E7759">
            <w:pPr>
              <w:jc w:val="center"/>
              <w:rPr>
                <w:sz w:val="24"/>
                <w:szCs w:val="24"/>
              </w:rPr>
            </w:pPr>
            <w:r w:rsidRPr="00E13198">
              <w:rPr>
                <w:sz w:val="24"/>
                <w:szCs w:val="24"/>
              </w:rPr>
              <w:t>PM</w:t>
            </w:r>
            <w:r w:rsidRPr="00E13198">
              <w:rPr>
                <w:sz w:val="24"/>
                <w:szCs w:val="24"/>
                <w:vertAlign w:val="subscript"/>
              </w:rPr>
              <w:t>2.5</w:t>
            </w:r>
          </w:p>
        </w:tc>
        <w:tc>
          <w:tcPr>
            <w:tcW w:w="1105" w:type="dxa"/>
            <w:gridSpan w:val="2"/>
            <w:vAlign w:val="center"/>
          </w:tcPr>
          <w:p w14:paraId="11CCF86F" w14:textId="77777777" w:rsidR="00B241C2" w:rsidRPr="00E13198" w:rsidRDefault="00B241C2" w:rsidP="006E7759">
            <w:pPr>
              <w:rPr>
                <w:sz w:val="24"/>
                <w:szCs w:val="24"/>
              </w:rPr>
            </w:pPr>
            <w:r w:rsidRPr="00E13198">
              <w:rPr>
                <w:sz w:val="24"/>
                <w:szCs w:val="24"/>
              </w:rPr>
              <w:t>24-hour</w:t>
            </w:r>
          </w:p>
        </w:tc>
        <w:tc>
          <w:tcPr>
            <w:tcW w:w="1206" w:type="dxa"/>
            <w:vAlign w:val="center"/>
          </w:tcPr>
          <w:p w14:paraId="7F637597" w14:textId="77777777" w:rsidR="00B241C2" w:rsidRPr="00E13198" w:rsidRDefault="00B241C2" w:rsidP="006E7759">
            <w:pPr>
              <w:jc w:val="center"/>
              <w:rPr>
                <w:sz w:val="24"/>
                <w:szCs w:val="24"/>
              </w:rPr>
            </w:pPr>
            <w:r w:rsidRPr="00E13198">
              <w:rPr>
                <w:sz w:val="24"/>
                <w:szCs w:val="24"/>
              </w:rPr>
              <w:t>primary</w:t>
            </w:r>
          </w:p>
        </w:tc>
        <w:tc>
          <w:tcPr>
            <w:tcW w:w="990" w:type="dxa"/>
            <w:tcBorders>
              <w:right w:val="nil"/>
            </w:tcBorders>
            <w:vAlign w:val="center"/>
          </w:tcPr>
          <w:p w14:paraId="25A315B2" w14:textId="77777777" w:rsidR="00B241C2" w:rsidRPr="00E13198" w:rsidRDefault="00B241C2" w:rsidP="006E7759">
            <w:pPr>
              <w:jc w:val="center"/>
              <w:rPr>
                <w:sz w:val="24"/>
                <w:szCs w:val="24"/>
              </w:rPr>
            </w:pPr>
            <w:r w:rsidRPr="00E13198">
              <w:rPr>
                <w:sz w:val="24"/>
                <w:szCs w:val="24"/>
              </w:rPr>
              <w:t>35</w:t>
            </w:r>
          </w:p>
        </w:tc>
        <w:tc>
          <w:tcPr>
            <w:tcW w:w="2716" w:type="dxa"/>
            <w:tcBorders>
              <w:right w:val="nil"/>
            </w:tcBorders>
            <w:vAlign w:val="center"/>
          </w:tcPr>
          <w:p w14:paraId="7C84209B" w14:textId="77777777" w:rsidR="00B241C2" w:rsidRPr="00E13198" w:rsidRDefault="00B241C2" w:rsidP="00BF21A3">
            <w:pPr>
              <w:rPr>
                <w:sz w:val="24"/>
                <w:szCs w:val="24"/>
              </w:rPr>
            </w:pPr>
            <w:r w:rsidRPr="00E13198">
              <w:rPr>
                <w:sz w:val="24"/>
                <w:szCs w:val="24"/>
              </w:rPr>
              <w:t>Highest 8th high (H8H) of the 9</w:t>
            </w:r>
            <w:r w:rsidRPr="00E13198">
              <w:rPr>
                <w:b/>
                <w:sz w:val="24"/>
                <w:szCs w:val="24"/>
              </w:rPr>
              <w:t>8</w:t>
            </w:r>
            <w:r w:rsidRPr="00E13198">
              <w:rPr>
                <w:sz w:val="24"/>
                <w:szCs w:val="24"/>
              </w:rPr>
              <w:t xml:space="preserve">th percentile </w:t>
            </w:r>
            <w:r w:rsidRPr="00E13198">
              <w:rPr>
                <w:rFonts w:eastAsiaTheme="minorHAnsi"/>
                <w:color w:val="000000"/>
                <w:sz w:val="24"/>
                <w:szCs w:val="24"/>
              </w:rPr>
              <w:t>of the annual distribution of  24 hour concentrations, averaged over</w:t>
            </w:r>
            <w:r w:rsidRPr="00E13198">
              <w:rPr>
                <w:sz w:val="24"/>
                <w:szCs w:val="24"/>
              </w:rPr>
              <w:t xml:space="preserve"> 5 years</w:t>
            </w:r>
          </w:p>
        </w:tc>
        <w:tc>
          <w:tcPr>
            <w:tcW w:w="1595" w:type="dxa"/>
            <w:tcBorders>
              <w:right w:val="single" w:sz="4" w:space="0" w:color="auto"/>
            </w:tcBorders>
          </w:tcPr>
          <w:p w14:paraId="73E3DD6E" w14:textId="77777777" w:rsidR="00B241C2" w:rsidRPr="00E13198" w:rsidRDefault="00971AA0" w:rsidP="00971AA0">
            <w:pPr>
              <w:autoSpaceDE w:val="0"/>
              <w:autoSpaceDN w:val="0"/>
              <w:adjustRightInd w:val="0"/>
              <w:rPr>
                <w:sz w:val="24"/>
                <w:szCs w:val="24"/>
              </w:rPr>
            </w:pPr>
            <w:r w:rsidRPr="00E13198">
              <w:rPr>
                <w:sz w:val="24"/>
                <w:szCs w:val="24"/>
              </w:rPr>
              <w:t>U.S. EPA MCHM,</w:t>
            </w:r>
            <w:r w:rsidR="00B241C2" w:rsidRPr="00E13198">
              <w:rPr>
                <w:color w:val="000000"/>
                <w:sz w:val="24"/>
                <w:szCs w:val="24"/>
              </w:rPr>
              <w:t xml:space="preserve"> March 4, 2013 </w:t>
            </w:r>
          </w:p>
        </w:tc>
      </w:tr>
      <w:tr w:rsidR="00B241C2" w:rsidRPr="007F7F76" w14:paraId="39DD83AA" w14:textId="77777777" w:rsidTr="00E13198">
        <w:trPr>
          <w:cantSplit/>
          <w:jc w:val="center"/>
        </w:trPr>
        <w:tc>
          <w:tcPr>
            <w:tcW w:w="1028" w:type="dxa"/>
            <w:vMerge/>
            <w:tcBorders>
              <w:left w:val="single" w:sz="4" w:space="0" w:color="auto"/>
            </w:tcBorders>
            <w:vAlign w:val="center"/>
          </w:tcPr>
          <w:p w14:paraId="6F8AB647" w14:textId="77777777" w:rsidR="00B241C2" w:rsidRPr="00E13198" w:rsidRDefault="00B241C2" w:rsidP="006E7759">
            <w:pPr>
              <w:jc w:val="center"/>
              <w:rPr>
                <w:sz w:val="24"/>
                <w:szCs w:val="24"/>
              </w:rPr>
            </w:pPr>
          </w:p>
        </w:tc>
        <w:tc>
          <w:tcPr>
            <w:tcW w:w="1105" w:type="dxa"/>
            <w:gridSpan w:val="2"/>
            <w:vAlign w:val="center"/>
          </w:tcPr>
          <w:p w14:paraId="377FC3B8" w14:textId="77777777" w:rsidR="00B241C2" w:rsidRPr="00E13198" w:rsidRDefault="00B241C2" w:rsidP="006E7759">
            <w:pPr>
              <w:rPr>
                <w:sz w:val="24"/>
                <w:szCs w:val="24"/>
              </w:rPr>
            </w:pPr>
            <w:r w:rsidRPr="00E13198">
              <w:rPr>
                <w:sz w:val="24"/>
                <w:szCs w:val="24"/>
              </w:rPr>
              <w:t>Annual</w:t>
            </w:r>
          </w:p>
        </w:tc>
        <w:tc>
          <w:tcPr>
            <w:tcW w:w="1206" w:type="dxa"/>
            <w:vAlign w:val="center"/>
          </w:tcPr>
          <w:p w14:paraId="3B84427C" w14:textId="77777777" w:rsidR="00B241C2" w:rsidRPr="00E13198" w:rsidRDefault="00B241C2" w:rsidP="006E7759">
            <w:pPr>
              <w:jc w:val="center"/>
              <w:rPr>
                <w:sz w:val="24"/>
                <w:szCs w:val="24"/>
              </w:rPr>
            </w:pPr>
            <w:r w:rsidRPr="00E13198">
              <w:rPr>
                <w:sz w:val="24"/>
                <w:szCs w:val="24"/>
              </w:rPr>
              <w:t>primary</w:t>
            </w:r>
          </w:p>
        </w:tc>
        <w:tc>
          <w:tcPr>
            <w:tcW w:w="990" w:type="dxa"/>
            <w:tcBorders>
              <w:right w:val="nil"/>
            </w:tcBorders>
            <w:vAlign w:val="center"/>
          </w:tcPr>
          <w:p w14:paraId="5BF76450" w14:textId="77777777" w:rsidR="00B241C2" w:rsidRPr="00E13198" w:rsidRDefault="00B241C2" w:rsidP="006E7759">
            <w:pPr>
              <w:jc w:val="center"/>
              <w:rPr>
                <w:sz w:val="24"/>
                <w:szCs w:val="24"/>
              </w:rPr>
            </w:pPr>
            <w:r w:rsidRPr="00E13198">
              <w:rPr>
                <w:sz w:val="24"/>
                <w:szCs w:val="24"/>
              </w:rPr>
              <w:t>12.0</w:t>
            </w:r>
          </w:p>
        </w:tc>
        <w:tc>
          <w:tcPr>
            <w:tcW w:w="2716" w:type="dxa"/>
            <w:tcBorders>
              <w:right w:val="nil"/>
            </w:tcBorders>
            <w:vAlign w:val="center"/>
          </w:tcPr>
          <w:p w14:paraId="3CD04607" w14:textId="77777777" w:rsidR="00B241C2" w:rsidRPr="00E13198" w:rsidRDefault="00B241C2" w:rsidP="00BF21A3">
            <w:pPr>
              <w:rPr>
                <w:sz w:val="24"/>
                <w:szCs w:val="24"/>
              </w:rPr>
            </w:pPr>
            <w:r w:rsidRPr="00E13198">
              <w:rPr>
                <w:sz w:val="24"/>
                <w:szCs w:val="24"/>
              </w:rPr>
              <w:t>Highest first high (H1H) of the modeled annual averages, averaged over 5 years</w:t>
            </w:r>
          </w:p>
        </w:tc>
        <w:tc>
          <w:tcPr>
            <w:tcW w:w="1595" w:type="dxa"/>
            <w:tcBorders>
              <w:right w:val="single" w:sz="4" w:space="0" w:color="auto"/>
            </w:tcBorders>
          </w:tcPr>
          <w:p w14:paraId="1D1B42C7" w14:textId="77777777" w:rsidR="00B241C2" w:rsidRPr="00E13198" w:rsidRDefault="00971AA0" w:rsidP="00971AA0">
            <w:pPr>
              <w:autoSpaceDE w:val="0"/>
              <w:autoSpaceDN w:val="0"/>
              <w:adjustRightInd w:val="0"/>
              <w:rPr>
                <w:sz w:val="24"/>
                <w:szCs w:val="24"/>
              </w:rPr>
            </w:pPr>
            <w:r w:rsidRPr="00E13198">
              <w:rPr>
                <w:sz w:val="24"/>
                <w:szCs w:val="24"/>
              </w:rPr>
              <w:t>U.S. EPA MCHM,</w:t>
            </w:r>
            <w:r w:rsidR="00B241C2" w:rsidRPr="00E13198">
              <w:rPr>
                <w:color w:val="000000"/>
                <w:sz w:val="24"/>
                <w:szCs w:val="24"/>
              </w:rPr>
              <w:t xml:space="preserve"> March 4, 2013 </w:t>
            </w:r>
          </w:p>
        </w:tc>
      </w:tr>
      <w:tr w:rsidR="00B241C2" w:rsidRPr="007F7F76" w14:paraId="62644B16" w14:textId="77777777" w:rsidTr="00E13198">
        <w:trPr>
          <w:cantSplit/>
          <w:jc w:val="center"/>
        </w:trPr>
        <w:tc>
          <w:tcPr>
            <w:tcW w:w="1028" w:type="dxa"/>
            <w:vMerge/>
            <w:tcBorders>
              <w:left w:val="single" w:sz="4" w:space="0" w:color="auto"/>
            </w:tcBorders>
            <w:vAlign w:val="center"/>
          </w:tcPr>
          <w:p w14:paraId="0210F384" w14:textId="77777777" w:rsidR="00B241C2" w:rsidRPr="00E13198" w:rsidRDefault="00B241C2" w:rsidP="006E7759">
            <w:pPr>
              <w:jc w:val="center"/>
              <w:rPr>
                <w:sz w:val="24"/>
                <w:szCs w:val="24"/>
              </w:rPr>
            </w:pPr>
          </w:p>
        </w:tc>
        <w:tc>
          <w:tcPr>
            <w:tcW w:w="1105" w:type="dxa"/>
            <w:gridSpan w:val="2"/>
            <w:vAlign w:val="center"/>
          </w:tcPr>
          <w:p w14:paraId="5F5AD1DD" w14:textId="77777777" w:rsidR="00B241C2" w:rsidRPr="00E13198" w:rsidRDefault="00B241C2" w:rsidP="006E7759">
            <w:pPr>
              <w:rPr>
                <w:sz w:val="24"/>
                <w:szCs w:val="24"/>
              </w:rPr>
            </w:pPr>
            <w:r w:rsidRPr="00E13198">
              <w:rPr>
                <w:sz w:val="24"/>
                <w:szCs w:val="24"/>
              </w:rPr>
              <w:t>Annual</w:t>
            </w:r>
          </w:p>
        </w:tc>
        <w:tc>
          <w:tcPr>
            <w:tcW w:w="1206" w:type="dxa"/>
            <w:vAlign w:val="center"/>
          </w:tcPr>
          <w:p w14:paraId="3A31ECFF" w14:textId="77777777" w:rsidR="00B241C2" w:rsidRPr="00E13198" w:rsidRDefault="00B241C2" w:rsidP="006E7759">
            <w:pPr>
              <w:jc w:val="center"/>
              <w:rPr>
                <w:sz w:val="24"/>
                <w:szCs w:val="24"/>
              </w:rPr>
            </w:pPr>
            <w:r w:rsidRPr="00E13198">
              <w:rPr>
                <w:sz w:val="24"/>
                <w:szCs w:val="24"/>
              </w:rPr>
              <w:t>secondary</w:t>
            </w:r>
          </w:p>
        </w:tc>
        <w:tc>
          <w:tcPr>
            <w:tcW w:w="990" w:type="dxa"/>
            <w:tcBorders>
              <w:right w:val="nil"/>
            </w:tcBorders>
            <w:vAlign w:val="center"/>
          </w:tcPr>
          <w:p w14:paraId="285DB7B9" w14:textId="77777777" w:rsidR="00B241C2" w:rsidRPr="00E13198" w:rsidRDefault="00B241C2" w:rsidP="006E7759">
            <w:pPr>
              <w:jc w:val="center"/>
              <w:rPr>
                <w:sz w:val="24"/>
                <w:szCs w:val="24"/>
              </w:rPr>
            </w:pPr>
            <w:r w:rsidRPr="00E13198">
              <w:rPr>
                <w:sz w:val="24"/>
                <w:szCs w:val="24"/>
              </w:rPr>
              <w:t>15.0</w:t>
            </w:r>
          </w:p>
        </w:tc>
        <w:tc>
          <w:tcPr>
            <w:tcW w:w="2716" w:type="dxa"/>
            <w:tcBorders>
              <w:right w:val="nil"/>
            </w:tcBorders>
            <w:vAlign w:val="center"/>
          </w:tcPr>
          <w:p w14:paraId="2E5DF9D1" w14:textId="77777777" w:rsidR="00B241C2" w:rsidRPr="00E13198" w:rsidRDefault="00B241C2" w:rsidP="00BF21A3">
            <w:pPr>
              <w:rPr>
                <w:sz w:val="24"/>
                <w:szCs w:val="24"/>
              </w:rPr>
            </w:pPr>
            <w:r w:rsidRPr="00E13198">
              <w:rPr>
                <w:sz w:val="24"/>
                <w:szCs w:val="24"/>
              </w:rPr>
              <w:t>Highest first high (H1H) of the modeled annual averages, averaged over 5 years</w:t>
            </w:r>
          </w:p>
        </w:tc>
        <w:tc>
          <w:tcPr>
            <w:tcW w:w="1595" w:type="dxa"/>
            <w:tcBorders>
              <w:right w:val="single" w:sz="4" w:space="0" w:color="auto"/>
            </w:tcBorders>
          </w:tcPr>
          <w:p w14:paraId="664596F2" w14:textId="77777777" w:rsidR="00B241C2" w:rsidRPr="00E13198" w:rsidRDefault="00971AA0" w:rsidP="006E7759">
            <w:pPr>
              <w:autoSpaceDE w:val="0"/>
              <w:autoSpaceDN w:val="0"/>
              <w:adjustRightInd w:val="0"/>
              <w:rPr>
                <w:color w:val="000000"/>
                <w:sz w:val="24"/>
                <w:szCs w:val="24"/>
              </w:rPr>
            </w:pPr>
            <w:r w:rsidRPr="00E13198">
              <w:rPr>
                <w:sz w:val="24"/>
                <w:szCs w:val="24"/>
              </w:rPr>
              <w:t>U.S. EPA MCHM,</w:t>
            </w:r>
            <w:r w:rsidR="00B241C2" w:rsidRPr="00E13198">
              <w:rPr>
                <w:color w:val="000000"/>
                <w:sz w:val="24"/>
                <w:szCs w:val="24"/>
              </w:rPr>
              <w:t xml:space="preserve"> March 4, 2013 </w:t>
            </w:r>
          </w:p>
          <w:p w14:paraId="16BCC1D2" w14:textId="77777777" w:rsidR="00B241C2" w:rsidRPr="00E13198" w:rsidRDefault="00B241C2" w:rsidP="006E7759">
            <w:pPr>
              <w:rPr>
                <w:sz w:val="24"/>
                <w:szCs w:val="24"/>
              </w:rPr>
            </w:pPr>
          </w:p>
        </w:tc>
      </w:tr>
      <w:tr w:rsidR="00B241C2" w:rsidRPr="007F7F76" w14:paraId="3B8771F9" w14:textId="77777777" w:rsidTr="00E13198">
        <w:trPr>
          <w:cantSplit/>
          <w:jc w:val="center"/>
        </w:trPr>
        <w:tc>
          <w:tcPr>
            <w:tcW w:w="1028" w:type="dxa"/>
            <w:tcBorders>
              <w:left w:val="single" w:sz="4" w:space="0" w:color="auto"/>
            </w:tcBorders>
            <w:vAlign w:val="center"/>
          </w:tcPr>
          <w:p w14:paraId="3CA174DE" w14:textId="77777777" w:rsidR="00B241C2" w:rsidRPr="00E13198" w:rsidRDefault="00B241C2" w:rsidP="006E7759">
            <w:pPr>
              <w:jc w:val="center"/>
              <w:rPr>
                <w:sz w:val="24"/>
                <w:szCs w:val="24"/>
              </w:rPr>
            </w:pPr>
            <w:r w:rsidRPr="00E13198">
              <w:rPr>
                <w:sz w:val="24"/>
                <w:szCs w:val="24"/>
              </w:rPr>
              <w:t>Pb</w:t>
            </w:r>
          </w:p>
        </w:tc>
        <w:tc>
          <w:tcPr>
            <w:tcW w:w="1105" w:type="dxa"/>
            <w:gridSpan w:val="2"/>
            <w:vAlign w:val="center"/>
          </w:tcPr>
          <w:p w14:paraId="190D3561" w14:textId="77777777" w:rsidR="00B241C2" w:rsidRPr="00E13198" w:rsidRDefault="00B241C2" w:rsidP="006E7759">
            <w:pPr>
              <w:rPr>
                <w:sz w:val="24"/>
                <w:szCs w:val="24"/>
              </w:rPr>
            </w:pPr>
            <w:r w:rsidRPr="00E13198">
              <w:rPr>
                <w:sz w:val="24"/>
                <w:szCs w:val="24"/>
              </w:rPr>
              <w:t>Rolling 3 month average</w:t>
            </w:r>
          </w:p>
        </w:tc>
        <w:tc>
          <w:tcPr>
            <w:tcW w:w="1206" w:type="dxa"/>
            <w:vAlign w:val="center"/>
          </w:tcPr>
          <w:p w14:paraId="2AC57DB7" w14:textId="77777777" w:rsidR="00B241C2" w:rsidRPr="00E13198" w:rsidRDefault="00B241C2" w:rsidP="006E7759">
            <w:pPr>
              <w:jc w:val="center"/>
              <w:rPr>
                <w:sz w:val="24"/>
                <w:szCs w:val="24"/>
              </w:rPr>
            </w:pPr>
            <w:r w:rsidRPr="00E13198">
              <w:rPr>
                <w:sz w:val="24"/>
                <w:szCs w:val="24"/>
              </w:rPr>
              <w:t>primary and secondary</w:t>
            </w:r>
          </w:p>
        </w:tc>
        <w:tc>
          <w:tcPr>
            <w:tcW w:w="990" w:type="dxa"/>
            <w:tcBorders>
              <w:right w:val="nil"/>
            </w:tcBorders>
            <w:vAlign w:val="center"/>
          </w:tcPr>
          <w:p w14:paraId="7574A726" w14:textId="77777777" w:rsidR="00B241C2" w:rsidRPr="00E13198" w:rsidRDefault="00B241C2" w:rsidP="006E7759">
            <w:pPr>
              <w:jc w:val="center"/>
              <w:rPr>
                <w:sz w:val="24"/>
                <w:szCs w:val="24"/>
              </w:rPr>
            </w:pPr>
            <w:r w:rsidRPr="00E13198">
              <w:rPr>
                <w:sz w:val="24"/>
                <w:szCs w:val="24"/>
              </w:rPr>
              <w:t>0.15</w:t>
            </w:r>
          </w:p>
        </w:tc>
        <w:tc>
          <w:tcPr>
            <w:tcW w:w="2716" w:type="dxa"/>
            <w:tcBorders>
              <w:right w:val="nil"/>
            </w:tcBorders>
            <w:vAlign w:val="center"/>
          </w:tcPr>
          <w:p w14:paraId="173D5C8F" w14:textId="77777777" w:rsidR="00B241C2" w:rsidRPr="00E13198" w:rsidRDefault="00B241C2" w:rsidP="00BF21A3">
            <w:pPr>
              <w:rPr>
                <w:sz w:val="24"/>
                <w:szCs w:val="24"/>
              </w:rPr>
            </w:pPr>
            <w:r w:rsidRPr="00E13198">
              <w:rPr>
                <w:sz w:val="24"/>
                <w:szCs w:val="24"/>
              </w:rPr>
              <w:t>Maximum 3-month rolling average in the five year period at each receptor</w:t>
            </w:r>
          </w:p>
        </w:tc>
        <w:tc>
          <w:tcPr>
            <w:tcW w:w="1595" w:type="dxa"/>
            <w:tcBorders>
              <w:right w:val="single" w:sz="4" w:space="0" w:color="auto"/>
            </w:tcBorders>
          </w:tcPr>
          <w:p w14:paraId="2814A840" w14:textId="77777777" w:rsidR="00B241C2" w:rsidRPr="00E13198" w:rsidRDefault="00B241C2" w:rsidP="000F5A03">
            <w:pPr>
              <w:rPr>
                <w:sz w:val="24"/>
                <w:szCs w:val="24"/>
              </w:rPr>
            </w:pPr>
            <w:r w:rsidRPr="00E13198">
              <w:rPr>
                <w:sz w:val="24"/>
                <w:szCs w:val="24"/>
              </w:rPr>
              <w:t>40 CFR Appendix W 9.</w:t>
            </w:r>
            <w:r w:rsidR="000F5A03" w:rsidRPr="00E13198">
              <w:rPr>
                <w:sz w:val="24"/>
                <w:szCs w:val="24"/>
              </w:rPr>
              <w:t>1 (d)</w:t>
            </w:r>
            <w:r w:rsidRPr="00E13198">
              <w:rPr>
                <w:sz w:val="24"/>
                <w:szCs w:val="24"/>
              </w:rPr>
              <w:t xml:space="preserve"> </w:t>
            </w:r>
          </w:p>
        </w:tc>
      </w:tr>
      <w:tr w:rsidR="00336724" w:rsidRPr="007F7F76" w14:paraId="5BACC3B1" w14:textId="77777777" w:rsidTr="00E13198">
        <w:trPr>
          <w:cantSplit/>
          <w:jc w:val="center"/>
        </w:trPr>
        <w:tc>
          <w:tcPr>
            <w:tcW w:w="1028" w:type="dxa"/>
            <w:tcBorders>
              <w:left w:val="single" w:sz="4" w:space="0" w:color="auto"/>
            </w:tcBorders>
            <w:vAlign w:val="center"/>
          </w:tcPr>
          <w:p w14:paraId="562C2550" w14:textId="77777777" w:rsidR="00336724" w:rsidRPr="00E13198" w:rsidRDefault="00336724" w:rsidP="006E7759">
            <w:pPr>
              <w:jc w:val="center"/>
              <w:rPr>
                <w:sz w:val="24"/>
                <w:szCs w:val="24"/>
              </w:rPr>
            </w:pPr>
            <w:r w:rsidRPr="00E13198">
              <w:rPr>
                <w:sz w:val="24"/>
                <w:szCs w:val="24"/>
              </w:rPr>
              <w:t>Ozone</w:t>
            </w:r>
          </w:p>
        </w:tc>
        <w:tc>
          <w:tcPr>
            <w:tcW w:w="1105" w:type="dxa"/>
            <w:gridSpan w:val="2"/>
            <w:vAlign w:val="center"/>
          </w:tcPr>
          <w:p w14:paraId="76A04F51" w14:textId="77777777" w:rsidR="00336724" w:rsidRPr="00E13198" w:rsidRDefault="00336724" w:rsidP="006E7759">
            <w:pPr>
              <w:rPr>
                <w:sz w:val="24"/>
                <w:szCs w:val="24"/>
              </w:rPr>
            </w:pPr>
            <w:r w:rsidRPr="00E13198">
              <w:rPr>
                <w:sz w:val="24"/>
                <w:szCs w:val="24"/>
              </w:rPr>
              <w:t>8-hour</w:t>
            </w:r>
          </w:p>
        </w:tc>
        <w:tc>
          <w:tcPr>
            <w:tcW w:w="1206" w:type="dxa"/>
            <w:vAlign w:val="center"/>
          </w:tcPr>
          <w:p w14:paraId="7F0FCDC8" w14:textId="77777777" w:rsidR="00336724" w:rsidRPr="00E13198" w:rsidRDefault="00336724" w:rsidP="006E7759">
            <w:pPr>
              <w:jc w:val="center"/>
              <w:rPr>
                <w:sz w:val="24"/>
                <w:szCs w:val="24"/>
              </w:rPr>
            </w:pPr>
            <w:r w:rsidRPr="00E13198">
              <w:rPr>
                <w:sz w:val="24"/>
                <w:szCs w:val="24"/>
              </w:rPr>
              <w:t>primary and secondary</w:t>
            </w:r>
          </w:p>
        </w:tc>
        <w:tc>
          <w:tcPr>
            <w:tcW w:w="990" w:type="dxa"/>
            <w:tcBorders>
              <w:right w:val="nil"/>
            </w:tcBorders>
            <w:vAlign w:val="center"/>
          </w:tcPr>
          <w:p w14:paraId="1C567F7F" w14:textId="77777777" w:rsidR="00336724" w:rsidRPr="00E13198" w:rsidRDefault="00336724" w:rsidP="006E7759">
            <w:pPr>
              <w:jc w:val="center"/>
              <w:rPr>
                <w:sz w:val="24"/>
                <w:szCs w:val="24"/>
              </w:rPr>
            </w:pPr>
            <w:r w:rsidRPr="00E13198">
              <w:rPr>
                <w:sz w:val="24"/>
                <w:szCs w:val="24"/>
              </w:rPr>
              <w:t xml:space="preserve">0.070 </w:t>
            </w:r>
            <w:r w:rsidRPr="00E13198">
              <w:rPr>
                <w:b/>
                <w:sz w:val="24"/>
                <w:szCs w:val="24"/>
              </w:rPr>
              <w:t>ppm</w:t>
            </w:r>
          </w:p>
        </w:tc>
        <w:tc>
          <w:tcPr>
            <w:tcW w:w="2716" w:type="dxa"/>
            <w:tcBorders>
              <w:right w:val="nil"/>
            </w:tcBorders>
            <w:vAlign w:val="center"/>
          </w:tcPr>
          <w:p w14:paraId="3D65FF22" w14:textId="77777777" w:rsidR="00336724" w:rsidRPr="00E13198" w:rsidRDefault="00336724" w:rsidP="00B17845">
            <w:pPr>
              <w:rPr>
                <w:sz w:val="24"/>
                <w:szCs w:val="24"/>
              </w:rPr>
            </w:pPr>
            <w:r w:rsidRPr="00E13198">
              <w:rPr>
                <w:sz w:val="24"/>
                <w:szCs w:val="24"/>
              </w:rPr>
              <w:t xml:space="preserve">Highest forth high (H4H) modeled concentration </w:t>
            </w:r>
            <w:r w:rsidR="00B17845" w:rsidRPr="00E13198">
              <w:rPr>
                <w:sz w:val="24"/>
                <w:szCs w:val="24"/>
              </w:rPr>
              <w:t xml:space="preserve">averaged over 5 years </w:t>
            </w:r>
          </w:p>
        </w:tc>
        <w:tc>
          <w:tcPr>
            <w:tcW w:w="1595" w:type="dxa"/>
            <w:tcBorders>
              <w:right w:val="single" w:sz="4" w:space="0" w:color="auto"/>
            </w:tcBorders>
          </w:tcPr>
          <w:p w14:paraId="0CF98695" w14:textId="77777777" w:rsidR="00336724" w:rsidRPr="00E13198" w:rsidRDefault="00336724" w:rsidP="006E7759">
            <w:pPr>
              <w:rPr>
                <w:sz w:val="24"/>
                <w:szCs w:val="24"/>
              </w:rPr>
            </w:pPr>
          </w:p>
        </w:tc>
      </w:tr>
      <w:tr w:rsidR="00B241C2" w:rsidRPr="007F7F76" w14:paraId="596F4F8E" w14:textId="77777777" w:rsidTr="00E13198">
        <w:trPr>
          <w:cantSplit/>
          <w:jc w:val="center"/>
        </w:trPr>
        <w:tc>
          <w:tcPr>
            <w:tcW w:w="1028" w:type="dxa"/>
            <w:tcBorders>
              <w:left w:val="single" w:sz="4" w:space="0" w:color="auto"/>
            </w:tcBorders>
            <w:vAlign w:val="center"/>
          </w:tcPr>
          <w:p w14:paraId="0DDC34AC" w14:textId="77777777" w:rsidR="00B241C2" w:rsidRPr="00E13198" w:rsidRDefault="00B241C2" w:rsidP="00862D98">
            <w:pPr>
              <w:jc w:val="center"/>
              <w:rPr>
                <w:sz w:val="24"/>
                <w:szCs w:val="24"/>
              </w:rPr>
            </w:pPr>
            <w:r w:rsidRPr="00E13198">
              <w:rPr>
                <w:sz w:val="24"/>
                <w:szCs w:val="24"/>
              </w:rPr>
              <w:t>TRS</w:t>
            </w:r>
          </w:p>
        </w:tc>
        <w:tc>
          <w:tcPr>
            <w:tcW w:w="1105" w:type="dxa"/>
            <w:gridSpan w:val="2"/>
            <w:vAlign w:val="center"/>
          </w:tcPr>
          <w:p w14:paraId="53DD5604" w14:textId="77777777" w:rsidR="00B241C2" w:rsidRPr="00E13198" w:rsidRDefault="00B241C2" w:rsidP="006E7759">
            <w:pPr>
              <w:rPr>
                <w:sz w:val="24"/>
                <w:szCs w:val="24"/>
              </w:rPr>
            </w:pPr>
            <w:r w:rsidRPr="00E13198">
              <w:rPr>
                <w:sz w:val="24"/>
                <w:szCs w:val="24"/>
              </w:rPr>
              <w:t>30-minute</w:t>
            </w:r>
          </w:p>
        </w:tc>
        <w:tc>
          <w:tcPr>
            <w:tcW w:w="1206" w:type="dxa"/>
            <w:vAlign w:val="center"/>
          </w:tcPr>
          <w:p w14:paraId="6D39C5BF" w14:textId="77777777" w:rsidR="00B241C2" w:rsidRPr="00E13198" w:rsidRDefault="00B241C2" w:rsidP="006E7759">
            <w:pPr>
              <w:jc w:val="center"/>
              <w:rPr>
                <w:sz w:val="24"/>
                <w:szCs w:val="24"/>
              </w:rPr>
            </w:pPr>
            <w:r w:rsidRPr="00E13198">
              <w:rPr>
                <w:sz w:val="24"/>
                <w:szCs w:val="24"/>
              </w:rPr>
              <w:t>primary and secondary</w:t>
            </w:r>
          </w:p>
        </w:tc>
        <w:tc>
          <w:tcPr>
            <w:tcW w:w="990" w:type="dxa"/>
            <w:tcBorders>
              <w:right w:val="nil"/>
            </w:tcBorders>
            <w:vAlign w:val="center"/>
          </w:tcPr>
          <w:p w14:paraId="5C64189C" w14:textId="77777777" w:rsidR="00B241C2" w:rsidRPr="00E13198" w:rsidRDefault="00B241C2" w:rsidP="006E7759">
            <w:pPr>
              <w:jc w:val="center"/>
              <w:rPr>
                <w:sz w:val="24"/>
                <w:szCs w:val="24"/>
              </w:rPr>
            </w:pPr>
            <w:r w:rsidRPr="00E13198">
              <w:rPr>
                <w:sz w:val="24"/>
                <w:szCs w:val="24"/>
              </w:rPr>
              <w:t xml:space="preserve">0.10 </w:t>
            </w:r>
            <w:r w:rsidRPr="00E13198">
              <w:rPr>
                <w:b/>
                <w:sz w:val="24"/>
                <w:szCs w:val="24"/>
              </w:rPr>
              <w:t>ppm</w:t>
            </w:r>
          </w:p>
        </w:tc>
        <w:tc>
          <w:tcPr>
            <w:tcW w:w="2716" w:type="dxa"/>
            <w:tcBorders>
              <w:right w:val="nil"/>
            </w:tcBorders>
            <w:vAlign w:val="center"/>
          </w:tcPr>
          <w:p w14:paraId="07110BFE" w14:textId="77777777" w:rsidR="00B241C2" w:rsidRPr="00E13198" w:rsidRDefault="00B241C2" w:rsidP="00760CFC">
            <w:pPr>
              <w:rPr>
                <w:sz w:val="24"/>
                <w:szCs w:val="24"/>
              </w:rPr>
            </w:pPr>
            <w:r w:rsidRPr="00E13198">
              <w:rPr>
                <w:sz w:val="24"/>
                <w:szCs w:val="24"/>
              </w:rPr>
              <w:t xml:space="preserve">Highest first high (H1H) modeled concentration for </w:t>
            </w:r>
            <w:proofErr w:type="spellStart"/>
            <w:r w:rsidR="00760CFC" w:rsidRPr="00E13198">
              <w:rPr>
                <w:sz w:val="24"/>
                <w:szCs w:val="24"/>
              </w:rPr>
              <w:t>f</w:t>
            </w:r>
            <w:r w:rsidRPr="00E13198">
              <w:rPr>
                <w:sz w:val="24"/>
                <w:szCs w:val="24"/>
              </w:rPr>
              <w:t>or</w:t>
            </w:r>
            <w:proofErr w:type="spellEnd"/>
            <w:r w:rsidRPr="00E13198">
              <w:rPr>
                <w:sz w:val="24"/>
                <w:szCs w:val="24"/>
              </w:rPr>
              <w:t xml:space="preserve"> each of the 5 years modeled</w:t>
            </w:r>
          </w:p>
        </w:tc>
        <w:tc>
          <w:tcPr>
            <w:tcW w:w="1595" w:type="dxa"/>
            <w:tcBorders>
              <w:right w:val="single" w:sz="4" w:space="0" w:color="auto"/>
            </w:tcBorders>
          </w:tcPr>
          <w:p w14:paraId="3405B14B" w14:textId="77777777" w:rsidR="00B241C2" w:rsidRPr="00E13198" w:rsidRDefault="00B241C2" w:rsidP="000E3440">
            <w:pPr>
              <w:rPr>
                <w:sz w:val="24"/>
                <w:szCs w:val="24"/>
              </w:rPr>
            </w:pPr>
            <w:r w:rsidRPr="00E13198">
              <w:rPr>
                <w:sz w:val="24"/>
                <w:szCs w:val="24"/>
              </w:rPr>
              <w:t>Title 129, Ch. 4</w:t>
            </w:r>
            <w:r w:rsidR="000E3440">
              <w:rPr>
                <w:sz w:val="24"/>
                <w:szCs w:val="24"/>
              </w:rPr>
              <w:t xml:space="preserve">, </w:t>
            </w:r>
            <w:r w:rsidRPr="00E13198">
              <w:rPr>
                <w:sz w:val="24"/>
                <w:szCs w:val="24"/>
                <w:u w:val="single"/>
              </w:rPr>
              <w:t>007</w:t>
            </w:r>
          </w:p>
        </w:tc>
      </w:tr>
    </w:tbl>
    <w:p w14:paraId="1E4BD51A" w14:textId="77777777" w:rsidR="00CB1943" w:rsidRPr="00E13198" w:rsidRDefault="00CB1943" w:rsidP="000E2238">
      <w:pPr>
        <w:rPr>
          <w:b/>
          <w:sz w:val="24"/>
          <w:szCs w:val="24"/>
          <w:u w:val="single"/>
        </w:rPr>
      </w:pPr>
    </w:p>
    <w:p w14:paraId="5E3B0A1B" w14:textId="77777777" w:rsidR="00B1274C" w:rsidRPr="00E13198" w:rsidRDefault="00B1274C" w:rsidP="000E2238">
      <w:pPr>
        <w:rPr>
          <w:sz w:val="24"/>
          <w:szCs w:val="24"/>
        </w:rPr>
      </w:pPr>
      <w:r w:rsidRPr="00E13198">
        <w:rPr>
          <w:sz w:val="24"/>
          <w:szCs w:val="24"/>
        </w:rPr>
        <w:t xml:space="preserve">The emission rates used in a </w:t>
      </w:r>
      <w:proofErr w:type="gramStart"/>
      <w:r w:rsidRPr="00E13198">
        <w:rPr>
          <w:sz w:val="24"/>
          <w:szCs w:val="24"/>
        </w:rPr>
        <w:t>NAAQS</w:t>
      </w:r>
      <w:proofErr w:type="gramEnd"/>
      <w:r w:rsidRPr="00E13198">
        <w:rPr>
          <w:sz w:val="24"/>
          <w:szCs w:val="24"/>
        </w:rPr>
        <w:t xml:space="preserve"> </w:t>
      </w:r>
      <w:r w:rsidR="00044E43" w:rsidRPr="00E13198">
        <w:rPr>
          <w:sz w:val="24"/>
          <w:szCs w:val="24"/>
        </w:rPr>
        <w:t xml:space="preserve">or a PSD </w:t>
      </w:r>
      <w:r w:rsidRPr="00E13198">
        <w:rPr>
          <w:sz w:val="24"/>
          <w:szCs w:val="24"/>
        </w:rPr>
        <w:t xml:space="preserve">analysis </w:t>
      </w:r>
      <w:r w:rsidR="008635BB">
        <w:rPr>
          <w:sz w:val="24"/>
          <w:szCs w:val="24"/>
        </w:rPr>
        <w:t>is</w:t>
      </w:r>
      <w:r w:rsidRPr="00E13198">
        <w:rPr>
          <w:sz w:val="24"/>
          <w:szCs w:val="24"/>
        </w:rPr>
        <w:t xml:space="preserve"> based on </w:t>
      </w:r>
      <w:r w:rsidR="00044E43" w:rsidRPr="00E13198">
        <w:rPr>
          <w:sz w:val="24"/>
          <w:szCs w:val="24"/>
        </w:rPr>
        <w:t xml:space="preserve">40CFR Part 50, </w:t>
      </w:r>
      <w:r w:rsidRPr="00E13198">
        <w:rPr>
          <w:sz w:val="24"/>
          <w:szCs w:val="24"/>
        </w:rPr>
        <w:t>Appendix W, Table 8-2, "Point Source Model Emission Inputs for NAAQS Compliance in PSD Demo</w:t>
      </w:r>
      <w:r w:rsidR="00097F75">
        <w:rPr>
          <w:sz w:val="24"/>
          <w:szCs w:val="24"/>
        </w:rPr>
        <w:t>n</w:t>
      </w:r>
      <w:r w:rsidRPr="00E13198">
        <w:rPr>
          <w:sz w:val="24"/>
          <w:szCs w:val="24"/>
        </w:rPr>
        <w:t>strations."</w:t>
      </w:r>
    </w:p>
    <w:p w14:paraId="19FF8879" w14:textId="77777777" w:rsidR="00B870C9" w:rsidRDefault="00B870C9" w:rsidP="00B870C9">
      <w:pPr>
        <w:pStyle w:val="Heading1"/>
        <w:spacing w:before="0"/>
      </w:pPr>
    </w:p>
    <w:p w14:paraId="7B235B8D" w14:textId="77777777" w:rsidR="000E2238" w:rsidRPr="00E13198" w:rsidRDefault="000E2238" w:rsidP="00B870C9">
      <w:pPr>
        <w:pStyle w:val="Heading1"/>
        <w:spacing w:before="0"/>
      </w:pPr>
      <w:bookmarkStart w:id="10" w:name="_Toc489256243"/>
      <w:r w:rsidRPr="00E13198">
        <w:t>Increment</w:t>
      </w:r>
      <w:r w:rsidR="000E25CC" w:rsidRPr="00E13198">
        <w:t xml:space="preserve"> Analysis</w:t>
      </w:r>
      <w:bookmarkEnd w:id="10"/>
    </w:p>
    <w:p w14:paraId="167C2903" w14:textId="77777777" w:rsidR="00A84963" w:rsidRPr="00E13198" w:rsidRDefault="003C64DC" w:rsidP="000E2238">
      <w:pPr>
        <w:rPr>
          <w:sz w:val="24"/>
          <w:szCs w:val="24"/>
        </w:rPr>
      </w:pPr>
      <w:r w:rsidRPr="00E13198">
        <w:rPr>
          <w:sz w:val="24"/>
          <w:szCs w:val="24"/>
        </w:rPr>
        <w:t xml:space="preserve">PSD major source modeling requires an increment analysis showing compliance with the Class II ambient air increments.  </w:t>
      </w:r>
      <w:r w:rsidR="0075340E" w:rsidRPr="00E13198">
        <w:rPr>
          <w:sz w:val="24"/>
          <w:szCs w:val="24"/>
        </w:rPr>
        <w:t xml:space="preserve">The State of Nebraska contains no Class I areas.  The </w:t>
      </w:r>
      <w:r w:rsidR="00FE6B2B" w:rsidRPr="00E13198">
        <w:rPr>
          <w:sz w:val="24"/>
          <w:szCs w:val="24"/>
        </w:rPr>
        <w:t xml:space="preserve">entire </w:t>
      </w:r>
      <w:r w:rsidR="0075340E" w:rsidRPr="00E13198">
        <w:rPr>
          <w:sz w:val="24"/>
          <w:szCs w:val="24"/>
        </w:rPr>
        <w:t>S</w:t>
      </w:r>
      <w:r w:rsidR="00FE6B2B" w:rsidRPr="00E13198">
        <w:rPr>
          <w:sz w:val="24"/>
          <w:szCs w:val="24"/>
        </w:rPr>
        <w:t xml:space="preserve">tate </w:t>
      </w:r>
      <w:r w:rsidR="00502EA0" w:rsidRPr="00E13198">
        <w:rPr>
          <w:sz w:val="24"/>
          <w:szCs w:val="24"/>
        </w:rPr>
        <w:t>is classified as a Class II</w:t>
      </w:r>
      <w:r w:rsidR="001902DF" w:rsidRPr="00E13198">
        <w:rPr>
          <w:sz w:val="24"/>
          <w:szCs w:val="24"/>
        </w:rPr>
        <w:t xml:space="preserve"> area</w:t>
      </w:r>
      <w:r w:rsidR="00502EA0" w:rsidRPr="00E13198">
        <w:rPr>
          <w:sz w:val="24"/>
          <w:szCs w:val="24"/>
        </w:rPr>
        <w:t xml:space="preserve">.  </w:t>
      </w:r>
      <w:r w:rsidR="0039036E" w:rsidRPr="00E13198">
        <w:rPr>
          <w:sz w:val="24"/>
          <w:szCs w:val="24"/>
        </w:rPr>
        <w:t xml:space="preserve">When a PSD increment analysis is required, ambient air impacts from the source's proposed </w:t>
      </w:r>
      <w:r w:rsidR="00E622C9" w:rsidRPr="00E13198">
        <w:rPr>
          <w:sz w:val="24"/>
          <w:szCs w:val="24"/>
        </w:rPr>
        <w:t>actual</w:t>
      </w:r>
      <w:r w:rsidR="0039036E" w:rsidRPr="00E13198">
        <w:rPr>
          <w:sz w:val="24"/>
          <w:szCs w:val="24"/>
        </w:rPr>
        <w:t xml:space="preserve"> emissions plus increment-consuming sources surrounding the source should be less than or equal to the ambient air Class II increments.  </w:t>
      </w:r>
      <w:r w:rsidR="00F80B73" w:rsidRPr="00E13198">
        <w:rPr>
          <w:sz w:val="24"/>
          <w:szCs w:val="24"/>
        </w:rPr>
        <w:t xml:space="preserve">If actual emissions are not available, </w:t>
      </w:r>
      <w:r w:rsidR="0075340E" w:rsidRPr="00E13198">
        <w:rPr>
          <w:sz w:val="24"/>
          <w:szCs w:val="24"/>
        </w:rPr>
        <w:t xml:space="preserve">PTEs, also known as </w:t>
      </w:r>
      <w:r w:rsidR="00F80B73" w:rsidRPr="00E13198">
        <w:rPr>
          <w:sz w:val="24"/>
          <w:szCs w:val="24"/>
        </w:rPr>
        <w:t xml:space="preserve">allowable emissions, will be modeled.  </w:t>
      </w:r>
      <w:r w:rsidR="00BB0C7E" w:rsidRPr="00E13198">
        <w:rPr>
          <w:sz w:val="24"/>
          <w:szCs w:val="24"/>
        </w:rPr>
        <w:t xml:space="preserve">A list of increment-consuming nearby sources and the appropriate modeling </w:t>
      </w:r>
      <w:r w:rsidR="00612DF4" w:rsidRPr="00E13198">
        <w:rPr>
          <w:sz w:val="24"/>
          <w:szCs w:val="24"/>
        </w:rPr>
        <w:t>parameters</w:t>
      </w:r>
      <w:r w:rsidR="00097F75">
        <w:rPr>
          <w:sz w:val="24"/>
          <w:szCs w:val="24"/>
        </w:rPr>
        <w:t xml:space="preserve"> is available from</w:t>
      </w:r>
      <w:r w:rsidR="00BB0C7E" w:rsidRPr="00E13198">
        <w:rPr>
          <w:sz w:val="24"/>
          <w:szCs w:val="24"/>
        </w:rPr>
        <w:t xml:space="preserve"> the </w:t>
      </w:r>
      <w:r w:rsidR="00734D11" w:rsidRPr="00E13198">
        <w:rPr>
          <w:sz w:val="24"/>
          <w:szCs w:val="24"/>
        </w:rPr>
        <w:t>NDEQ</w:t>
      </w:r>
      <w:r w:rsidR="00BB0C7E" w:rsidRPr="00E13198">
        <w:rPr>
          <w:sz w:val="24"/>
          <w:szCs w:val="24"/>
        </w:rPr>
        <w:t>.</w:t>
      </w:r>
    </w:p>
    <w:p w14:paraId="343E0413" w14:textId="77777777" w:rsidR="0075340E" w:rsidRDefault="0075340E" w:rsidP="000E2238">
      <w:pPr>
        <w:rPr>
          <w:sz w:val="24"/>
          <w:szCs w:val="24"/>
        </w:rPr>
      </w:pPr>
    </w:p>
    <w:p w14:paraId="4A2F1848" w14:textId="77777777" w:rsidR="009C6668" w:rsidRDefault="009C6668" w:rsidP="000E2238">
      <w:pPr>
        <w:rPr>
          <w:sz w:val="24"/>
          <w:szCs w:val="24"/>
        </w:rPr>
      </w:pPr>
    </w:p>
    <w:p w14:paraId="0BC351A9" w14:textId="77777777" w:rsidR="009C6668" w:rsidRDefault="009C6668" w:rsidP="000E2238">
      <w:pPr>
        <w:rPr>
          <w:sz w:val="24"/>
          <w:szCs w:val="24"/>
        </w:rPr>
      </w:pPr>
    </w:p>
    <w:p w14:paraId="5F206927" w14:textId="77777777" w:rsidR="009C6668" w:rsidRDefault="009C6668" w:rsidP="000E2238">
      <w:pPr>
        <w:rPr>
          <w:sz w:val="24"/>
          <w:szCs w:val="24"/>
        </w:rPr>
      </w:pPr>
    </w:p>
    <w:p w14:paraId="796EF62D" w14:textId="77777777" w:rsidR="009C6668" w:rsidRDefault="009C6668" w:rsidP="000E2238">
      <w:pPr>
        <w:rPr>
          <w:sz w:val="24"/>
          <w:szCs w:val="24"/>
        </w:rPr>
      </w:pPr>
    </w:p>
    <w:p w14:paraId="30E7039A" w14:textId="77777777" w:rsidR="009C6668" w:rsidRDefault="009C6668" w:rsidP="000E2238">
      <w:pPr>
        <w:rPr>
          <w:sz w:val="24"/>
          <w:szCs w:val="24"/>
        </w:rPr>
      </w:pPr>
    </w:p>
    <w:p w14:paraId="2981EA1D" w14:textId="77777777" w:rsidR="009C6668" w:rsidRPr="00E13198" w:rsidRDefault="009C6668" w:rsidP="000E2238">
      <w:pPr>
        <w:rPr>
          <w:sz w:val="24"/>
          <w:szCs w:val="24"/>
        </w:rPr>
      </w:pPr>
    </w:p>
    <w:p w14:paraId="77FF12BA" w14:textId="77777777" w:rsidR="004D7D18" w:rsidRPr="00E13198" w:rsidRDefault="004D7D18" w:rsidP="009C6668">
      <w:pPr>
        <w:rPr>
          <w:sz w:val="24"/>
          <w:szCs w:val="24"/>
        </w:rPr>
      </w:pPr>
    </w:p>
    <w:tbl>
      <w:tblPr>
        <w:tblStyle w:val="TableGrid"/>
        <w:tblW w:w="5707" w:type="dxa"/>
        <w:jc w:val="center"/>
        <w:tblLook w:val="04A0" w:firstRow="1" w:lastRow="0" w:firstColumn="1" w:lastColumn="0" w:noHBand="0" w:noVBand="1"/>
      </w:tblPr>
      <w:tblGrid>
        <w:gridCol w:w="1523"/>
        <w:gridCol w:w="2280"/>
        <w:gridCol w:w="1904"/>
      </w:tblGrid>
      <w:tr w:rsidR="004D7D18" w:rsidRPr="000E3440" w14:paraId="00FFD36C" w14:textId="77777777" w:rsidTr="0034342F">
        <w:trPr>
          <w:trHeight w:val="516"/>
          <w:tblHeader/>
          <w:jc w:val="center"/>
        </w:trPr>
        <w:tc>
          <w:tcPr>
            <w:tcW w:w="5707" w:type="dxa"/>
            <w:gridSpan w:val="3"/>
            <w:tcBorders>
              <w:top w:val="nil"/>
              <w:left w:val="nil"/>
              <w:bottom w:val="single" w:sz="12" w:space="0" w:color="auto"/>
              <w:right w:val="nil"/>
            </w:tcBorders>
            <w:vAlign w:val="bottom"/>
          </w:tcPr>
          <w:p w14:paraId="0F7E729E" w14:textId="77777777" w:rsidR="004D7D18" w:rsidRPr="00B13F93" w:rsidRDefault="004D7D18" w:rsidP="0034342F">
            <w:pPr>
              <w:jc w:val="center"/>
              <w:rPr>
                <w:b/>
                <w:sz w:val="24"/>
                <w:szCs w:val="24"/>
              </w:rPr>
            </w:pPr>
            <w:r w:rsidRPr="007C6C72">
              <w:rPr>
                <w:b/>
                <w:sz w:val="24"/>
                <w:szCs w:val="24"/>
              </w:rPr>
              <w:lastRenderedPageBreak/>
              <w:t xml:space="preserve">Table 6 - Ambient Air Class II </w:t>
            </w:r>
            <w:r w:rsidR="0034342F">
              <w:rPr>
                <w:b/>
                <w:sz w:val="24"/>
                <w:szCs w:val="24"/>
              </w:rPr>
              <w:t xml:space="preserve">PSD </w:t>
            </w:r>
            <w:r w:rsidRPr="007C6C72">
              <w:rPr>
                <w:b/>
                <w:sz w:val="24"/>
                <w:szCs w:val="24"/>
              </w:rPr>
              <w:t>Increments</w:t>
            </w:r>
          </w:p>
        </w:tc>
      </w:tr>
      <w:tr w:rsidR="000E3440" w:rsidRPr="000E3440" w14:paraId="1D268398" w14:textId="77777777" w:rsidTr="004D7D18">
        <w:trPr>
          <w:trHeight w:val="516"/>
          <w:tblHeader/>
          <w:jc w:val="center"/>
        </w:trPr>
        <w:tc>
          <w:tcPr>
            <w:tcW w:w="1523" w:type="dxa"/>
            <w:tcBorders>
              <w:top w:val="single" w:sz="12" w:space="0" w:color="auto"/>
              <w:left w:val="single" w:sz="4" w:space="0" w:color="auto"/>
              <w:bottom w:val="single" w:sz="4" w:space="0" w:color="auto"/>
            </w:tcBorders>
            <w:vAlign w:val="center"/>
          </w:tcPr>
          <w:p w14:paraId="715E764D" w14:textId="77777777" w:rsidR="000E3440" w:rsidRPr="00E13198" w:rsidRDefault="000E3440" w:rsidP="001F33FF">
            <w:pPr>
              <w:jc w:val="center"/>
              <w:rPr>
                <w:b/>
                <w:sz w:val="24"/>
                <w:szCs w:val="24"/>
              </w:rPr>
            </w:pPr>
            <w:r w:rsidRPr="00E13198">
              <w:rPr>
                <w:b/>
                <w:sz w:val="24"/>
                <w:szCs w:val="24"/>
              </w:rPr>
              <w:t>Pollutant</w:t>
            </w:r>
          </w:p>
        </w:tc>
        <w:tc>
          <w:tcPr>
            <w:tcW w:w="2280" w:type="dxa"/>
            <w:tcBorders>
              <w:top w:val="single" w:sz="12" w:space="0" w:color="auto"/>
              <w:bottom w:val="single" w:sz="12" w:space="0" w:color="auto"/>
            </w:tcBorders>
            <w:vAlign w:val="center"/>
          </w:tcPr>
          <w:p w14:paraId="4FED5E49" w14:textId="77777777" w:rsidR="000E3440" w:rsidRPr="00E13198" w:rsidRDefault="000E3440" w:rsidP="001F33FF">
            <w:pPr>
              <w:jc w:val="center"/>
              <w:rPr>
                <w:b/>
                <w:sz w:val="24"/>
                <w:szCs w:val="24"/>
              </w:rPr>
            </w:pPr>
            <w:r w:rsidRPr="00E13198">
              <w:rPr>
                <w:b/>
                <w:sz w:val="24"/>
                <w:szCs w:val="24"/>
              </w:rPr>
              <w:t>Averaging Period</w:t>
            </w:r>
          </w:p>
        </w:tc>
        <w:tc>
          <w:tcPr>
            <w:tcW w:w="1904" w:type="dxa"/>
            <w:tcBorders>
              <w:top w:val="single" w:sz="12" w:space="0" w:color="auto"/>
              <w:bottom w:val="single" w:sz="12" w:space="0" w:color="auto"/>
            </w:tcBorders>
            <w:vAlign w:val="center"/>
          </w:tcPr>
          <w:p w14:paraId="6046F4B4" w14:textId="77777777" w:rsidR="000E3440" w:rsidRPr="00E13198" w:rsidRDefault="000E3440" w:rsidP="001F33FF">
            <w:pPr>
              <w:jc w:val="center"/>
              <w:rPr>
                <w:b/>
                <w:sz w:val="24"/>
                <w:szCs w:val="24"/>
              </w:rPr>
            </w:pPr>
            <w:r w:rsidRPr="00E13198">
              <w:rPr>
                <w:b/>
                <w:sz w:val="24"/>
                <w:szCs w:val="24"/>
              </w:rPr>
              <w:t xml:space="preserve">Class II Increment </w:t>
            </w:r>
            <w:r w:rsidRPr="00E13198">
              <w:rPr>
                <w:b/>
                <w:sz w:val="24"/>
                <w:szCs w:val="24"/>
                <w:vertAlign w:val="superscript"/>
              </w:rPr>
              <w:t xml:space="preserve">(1)  </w:t>
            </w:r>
            <w:r w:rsidRPr="00E13198">
              <w:rPr>
                <w:b/>
                <w:sz w:val="24"/>
                <w:szCs w:val="24"/>
              </w:rPr>
              <w:t>µg/m</w:t>
            </w:r>
            <w:r w:rsidRPr="00E13198">
              <w:rPr>
                <w:b/>
                <w:sz w:val="24"/>
                <w:szCs w:val="24"/>
                <w:vertAlign w:val="superscript"/>
              </w:rPr>
              <w:t>3</w:t>
            </w:r>
          </w:p>
        </w:tc>
      </w:tr>
      <w:tr w:rsidR="000E3440" w:rsidRPr="000E3440" w14:paraId="393F32C0" w14:textId="77777777" w:rsidTr="00E13198">
        <w:trPr>
          <w:jc w:val="center"/>
        </w:trPr>
        <w:tc>
          <w:tcPr>
            <w:tcW w:w="1523" w:type="dxa"/>
            <w:tcBorders>
              <w:left w:val="single" w:sz="4" w:space="0" w:color="auto"/>
            </w:tcBorders>
            <w:vAlign w:val="center"/>
          </w:tcPr>
          <w:p w14:paraId="69932EC4" w14:textId="77777777" w:rsidR="000E3440" w:rsidRPr="00E13198" w:rsidRDefault="000E3440" w:rsidP="006E7759">
            <w:pPr>
              <w:jc w:val="center"/>
              <w:rPr>
                <w:sz w:val="24"/>
                <w:szCs w:val="24"/>
              </w:rPr>
            </w:pPr>
            <w:r w:rsidRPr="00E13198">
              <w:rPr>
                <w:sz w:val="24"/>
                <w:szCs w:val="24"/>
              </w:rPr>
              <w:t>NO</w:t>
            </w:r>
            <w:r w:rsidRPr="00E13198">
              <w:rPr>
                <w:sz w:val="24"/>
                <w:szCs w:val="24"/>
                <w:vertAlign w:val="subscript"/>
              </w:rPr>
              <w:t>2</w:t>
            </w:r>
          </w:p>
        </w:tc>
        <w:tc>
          <w:tcPr>
            <w:tcW w:w="2280" w:type="dxa"/>
            <w:vAlign w:val="center"/>
          </w:tcPr>
          <w:p w14:paraId="4E75F928" w14:textId="77777777" w:rsidR="000E3440" w:rsidRPr="00E13198" w:rsidRDefault="000E3440" w:rsidP="006E7759">
            <w:pPr>
              <w:rPr>
                <w:sz w:val="24"/>
                <w:szCs w:val="24"/>
              </w:rPr>
            </w:pPr>
            <w:r w:rsidRPr="00E13198">
              <w:rPr>
                <w:sz w:val="24"/>
                <w:szCs w:val="24"/>
              </w:rPr>
              <w:t>Annual arithmetic mean</w:t>
            </w:r>
          </w:p>
        </w:tc>
        <w:tc>
          <w:tcPr>
            <w:tcW w:w="1904" w:type="dxa"/>
            <w:vAlign w:val="center"/>
          </w:tcPr>
          <w:p w14:paraId="1EE45936" w14:textId="77777777" w:rsidR="000E3440" w:rsidRPr="00E13198" w:rsidRDefault="000E3440" w:rsidP="006E7759">
            <w:pPr>
              <w:jc w:val="center"/>
              <w:rPr>
                <w:sz w:val="24"/>
                <w:szCs w:val="24"/>
              </w:rPr>
            </w:pPr>
            <w:r w:rsidRPr="00E13198">
              <w:rPr>
                <w:sz w:val="24"/>
                <w:szCs w:val="24"/>
              </w:rPr>
              <w:t>25</w:t>
            </w:r>
          </w:p>
        </w:tc>
      </w:tr>
      <w:tr w:rsidR="000E3440" w:rsidRPr="000E3440" w14:paraId="0438A52D" w14:textId="77777777" w:rsidTr="00E13198">
        <w:trPr>
          <w:jc w:val="center"/>
        </w:trPr>
        <w:tc>
          <w:tcPr>
            <w:tcW w:w="1523" w:type="dxa"/>
            <w:vMerge w:val="restart"/>
            <w:tcBorders>
              <w:left w:val="single" w:sz="4" w:space="0" w:color="auto"/>
            </w:tcBorders>
            <w:vAlign w:val="center"/>
          </w:tcPr>
          <w:p w14:paraId="488ACA30" w14:textId="77777777" w:rsidR="000E3440" w:rsidRPr="00E13198" w:rsidRDefault="000E3440" w:rsidP="006E7759">
            <w:pPr>
              <w:jc w:val="center"/>
              <w:rPr>
                <w:sz w:val="24"/>
                <w:szCs w:val="24"/>
              </w:rPr>
            </w:pPr>
            <w:r w:rsidRPr="00E13198">
              <w:rPr>
                <w:sz w:val="24"/>
                <w:szCs w:val="24"/>
              </w:rPr>
              <w:t>SO</w:t>
            </w:r>
            <w:r w:rsidRPr="00E13198">
              <w:rPr>
                <w:sz w:val="24"/>
                <w:szCs w:val="24"/>
                <w:vertAlign w:val="subscript"/>
              </w:rPr>
              <w:t>2</w:t>
            </w:r>
          </w:p>
        </w:tc>
        <w:tc>
          <w:tcPr>
            <w:tcW w:w="2280" w:type="dxa"/>
            <w:vAlign w:val="center"/>
          </w:tcPr>
          <w:p w14:paraId="0F7B767F" w14:textId="77777777" w:rsidR="000E3440" w:rsidRPr="00E13198" w:rsidRDefault="000E3440" w:rsidP="006E7759">
            <w:pPr>
              <w:rPr>
                <w:sz w:val="24"/>
                <w:szCs w:val="24"/>
              </w:rPr>
            </w:pPr>
            <w:r w:rsidRPr="00E13198">
              <w:rPr>
                <w:sz w:val="24"/>
                <w:szCs w:val="24"/>
              </w:rPr>
              <w:t>Annual arithmetic mean</w:t>
            </w:r>
          </w:p>
        </w:tc>
        <w:tc>
          <w:tcPr>
            <w:tcW w:w="1904" w:type="dxa"/>
            <w:vAlign w:val="center"/>
          </w:tcPr>
          <w:p w14:paraId="0E7D9E90" w14:textId="77777777" w:rsidR="000E3440" w:rsidRPr="00E13198" w:rsidRDefault="000E3440" w:rsidP="006E7759">
            <w:pPr>
              <w:jc w:val="center"/>
              <w:rPr>
                <w:sz w:val="24"/>
                <w:szCs w:val="24"/>
              </w:rPr>
            </w:pPr>
            <w:r w:rsidRPr="00E13198">
              <w:rPr>
                <w:sz w:val="24"/>
                <w:szCs w:val="24"/>
              </w:rPr>
              <w:t>20</w:t>
            </w:r>
          </w:p>
        </w:tc>
      </w:tr>
      <w:tr w:rsidR="000E3440" w:rsidRPr="000E3440" w14:paraId="7485B72D" w14:textId="77777777" w:rsidTr="00E13198">
        <w:trPr>
          <w:jc w:val="center"/>
        </w:trPr>
        <w:tc>
          <w:tcPr>
            <w:tcW w:w="1523" w:type="dxa"/>
            <w:vMerge/>
            <w:tcBorders>
              <w:left w:val="single" w:sz="4" w:space="0" w:color="auto"/>
            </w:tcBorders>
            <w:vAlign w:val="center"/>
          </w:tcPr>
          <w:p w14:paraId="0C255EEE" w14:textId="77777777" w:rsidR="000E3440" w:rsidRPr="00E13198" w:rsidRDefault="000E3440" w:rsidP="006E7759">
            <w:pPr>
              <w:jc w:val="center"/>
              <w:rPr>
                <w:sz w:val="24"/>
                <w:szCs w:val="24"/>
              </w:rPr>
            </w:pPr>
          </w:p>
        </w:tc>
        <w:tc>
          <w:tcPr>
            <w:tcW w:w="2280" w:type="dxa"/>
            <w:vAlign w:val="center"/>
          </w:tcPr>
          <w:p w14:paraId="10B7910D" w14:textId="77777777" w:rsidR="000E3440" w:rsidRPr="00E13198" w:rsidRDefault="000E3440" w:rsidP="006E7759">
            <w:pPr>
              <w:rPr>
                <w:sz w:val="24"/>
                <w:szCs w:val="24"/>
              </w:rPr>
            </w:pPr>
            <w:r w:rsidRPr="00E13198">
              <w:rPr>
                <w:sz w:val="24"/>
                <w:szCs w:val="24"/>
              </w:rPr>
              <w:t>24-hour maximum</w:t>
            </w:r>
          </w:p>
        </w:tc>
        <w:tc>
          <w:tcPr>
            <w:tcW w:w="1904" w:type="dxa"/>
            <w:vAlign w:val="center"/>
          </w:tcPr>
          <w:p w14:paraId="6D44693A" w14:textId="77777777" w:rsidR="000E3440" w:rsidRPr="00E13198" w:rsidRDefault="000E3440" w:rsidP="006E7759">
            <w:pPr>
              <w:jc w:val="center"/>
              <w:rPr>
                <w:sz w:val="24"/>
                <w:szCs w:val="24"/>
              </w:rPr>
            </w:pPr>
            <w:r w:rsidRPr="00E13198">
              <w:rPr>
                <w:sz w:val="24"/>
                <w:szCs w:val="24"/>
              </w:rPr>
              <w:t>91</w:t>
            </w:r>
          </w:p>
        </w:tc>
      </w:tr>
      <w:tr w:rsidR="000E3440" w:rsidRPr="000E3440" w14:paraId="4617AF9B" w14:textId="77777777" w:rsidTr="00E13198">
        <w:trPr>
          <w:jc w:val="center"/>
        </w:trPr>
        <w:tc>
          <w:tcPr>
            <w:tcW w:w="1523" w:type="dxa"/>
            <w:vMerge/>
            <w:tcBorders>
              <w:left w:val="single" w:sz="4" w:space="0" w:color="auto"/>
            </w:tcBorders>
            <w:vAlign w:val="center"/>
          </w:tcPr>
          <w:p w14:paraId="48D122C6" w14:textId="77777777" w:rsidR="000E3440" w:rsidRPr="00E13198" w:rsidRDefault="000E3440" w:rsidP="006E7759">
            <w:pPr>
              <w:jc w:val="center"/>
              <w:rPr>
                <w:sz w:val="24"/>
                <w:szCs w:val="24"/>
              </w:rPr>
            </w:pPr>
          </w:p>
        </w:tc>
        <w:tc>
          <w:tcPr>
            <w:tcW w:w="2280" w:type="dxa"/>
            <w:vAlign w:val="center"/>
          </w:tcPr>
          <w:p w14:paraId="1A2FCF4A" w14:textId="77777777" w:rsidR="000E3440" w:rsidRPr="00E13198" w:rsidRDefault="000E3440" w:rsidP="006E7759">
            <w:pPr>
              <w:rPr>
                <w:sz w:val="24"/>
                <w:szCs w:val="24"/>
              </w:rPr>
            </w:pPr>
            <w:r w:rsidRPr="00E13198">
              <w:rPr>
                <w:sz w:val="24"/>
                <w:szCs w:val="24"/>
              </w:rPr>
              <w:t>3-hour maximum</w:t>
            </w:r>
          </w:p>
        </w:tc>
        <w:tc>
          <w:tcPr>
            <w:tcW w:w="1904" w:type="dxa"/>
            <w:vAlign w:val="center"/>
          </w:tcPr>
          <w:p w14:paraId="372FF6B1" w14:textId="77777777" w:rsidR="000E3440" w:rsidRPr="00E13198" w:rsidRDefault="000E3440" w:rsidP="006E7759">
            <w:pPr>
              <w:jc w:val="center"/>
              <w:rPr>
                <w:sz w:val="24"/>
                <w:szCs w:val="24"/>
              </w:rPr>
            </w:pPr>
            <w:r w:rsidRPr="00E13198">
              <w:rPr>
                <w:sz w:val="24"/>
                <w:szCs w:val="24"/>
              </w:rPr>
              <w:t>512</w:t>
            </w:r>
          </w:p>
        </w:tc>
      </w:tr>
      <w:tr w:rsidR="000E3440" w:rsidRPr="000E3440" w14:paraId="17D3D082" w14:textId="77777777" w:rsidTr="00E13198">
        <w:trPr>
          <w:jc w:val="center"/>
        </w:trPr>
        <w:tc>
          <w:tcPr>
            <w:tcW w:w="1523" w:type="dxa"/>
            <w:vMerge w:val="restart"/>
            <w:tcBorders>
              <w:left w:val="single" w:sz="4" w:space="0" w:color="auto"/>
            </w:tcBorders>
            <w:vAlign w:val="center"/>
          </w:tcPr>
          <w:p w14:paraId="15B895D8" w14:textId="77777777" w:rsidR="000E3440" w:rsidRPr="00E13198" w:rsidRDefault="000E3440" w:rsidP="006E7759">
            <w:pPr>
              <w:jc w:val="center"/>
              <w:rPr>
                <w:sz w:val="24"/>
                <w:szCs w:val="24"/>
              </w:rPr>
            </w:pPr>
            <w:r w:rsidRPr="00E13198">
              <w:rPr>
                <w:sz w:val="24"/>
                <w:szCs w:val="24"/>
              </w:rPr>
              <w:t>PM</w:t>
            </w:r>
            <w:r w:rsidRPr="00E13198">
              <w:rPr>
                <w:sz w:val="24"/>
                <w:szCs w:val="24"/>
                <w:vertAlign w:val="subscript"/>
              </w:rPr>
              <w:t>10</w:t>
            </w:r>
          </w:p>
        </w:tc>
        <w:tc>
          <w:tcPr>
            <w:tcW w:w="2280" w:type="dxa"/>
            <w:vAlign w:val="center"/>
          </w:tcPr>
          <w:p w14:paraId="65592C59" w14:textId="77777777" w:rsidR="000E3440" w:rsidRPr="00E13198" w:rsidRDefault="000E3440" w:rsidP="006E7759">
            <w:pPr>
              <w:rPr>
                <w:sz w:val="24"/>
                <w:szCs w:val="24"/>
              </w:rPr>
            </w:pPr>
            <w:r w:rsidRPr="00E13198">
              <w:rPr>
                <w:sz w:val="24"/>
                <w:szCs w:val="24"/>
              </w:rPr>
              <w:t>Annual arithmetic mean</w:t>
            </w:r>
          </w:p>
        </w:tc>
        <w:tc>
          <w:tcPr>
            <w:tcW w:w="1904" w:type="dxa"/>
            <w:vAlign w:val="center"/>
          </w:tcPr>
          <w:p w14:paraId="29074AF8" w14:textId="77777777" w:rsidR="000E3440" w:rsidRPr="00E13198" w:rsidRDefault="000E3440" w:rsidP="006E7759">
            <w:pPr>
              <w:jc w:val="center"/>
              <w:rPr>
                <w:sz w:val="24"/>
                <w:szCs w:val="24"/>
              </w:rPr>
            </w:pPr>
            <w:r w:rsidRPr="00E13198">
              <w:rPr>
                <w:sz w:val="24"/>
                <w:szCs w:val="24"/>
              </w:rPr>
              <w:t>17</w:t>
            </w:r>
          </w:p>
        </w:tc>
      </w:tr>
      <w:tr w:rsidR="000E3440" w:rsidRPr="000E3440" w14:paraId="0B85944A" w14:textId="77777777" w:rsidTr="00E13198">
        <w:trPr>
          <w:jc w:val="center"/>
        </w:trPr>
        <w:tc>
          <w:tcPr>
            <w:tcW w:w="1523" w:type="dxa"/>
            <w:vMerge/>
            <w:tcBorders>
              <w:left w:val="single" w:sz="4" w:space="0" w:color="auto"/>
            </w:tcBorders>
            <w:vAlign w:val="center"/>
          </w:tcPr>
          <w:p w14:paraId="33F2B87C" w14:textId="77777777" w:rsidR="000E3440" w:rsidRPr="00E13198" w:rsidRDefault="000E3440" w:rsidP="006E7759">
            <w:pPr>
              <w:jc w:val="center"/>
              <w:rPr>
                <w:sz w:val="24"/>
                <w:szCs w:val="24"/>
              </w:rPr>
            </w:pPr>
          </w:p>
        </w:tc>
        <w:tc>
          <w:tcPr>
            <w:tcW w:w="2280" w:type="dxa"/>
            <w:vAlign w:val="center"/>
          </w:tcPr>
          <w:p w14:paraId="019C3BCD" w14:textId="77777777" w:rsidR="000E3440" w:rsidRPr="00E13198" w:rsidRDefault="000E3440" w:rsidP="006E7759">
            <w:pPr>
              <w:rPr>
                <w:sz w:val="24"/>
                <w:szCs w:val="24"/>
              </w:rPr>
            </w:pPr>
            <w:r w:rsidRPr="00E13198">
              <w:rPr>
                <w:sz w:val="24"/>
                <w:szCs w:val="24"/>
              </w:rPr>
              <w:t>24-hour maximum</w:t>
            </w:r>
          </w:p>
        </w:tc>
        <w:tc>
          <w:tcPr>
            <w:tcW w:w="1904" w:type="dxa"/>
            <w:vAlign w:val="center"/>
          </w:tcPr>
          <w:p w14:paraId="61AED746" w14:textId="77777777" w:rsidR="000E3440" w:rsidRPr="00E13198" w:rsidRDefault="000E3440" w:rsidP="006E7759">
            <w:pPr>
              <w:jc w:val="center"/>
              <w:rPr>
                <w:sz w:val="24"/>
                <w:szCs w:val="24"/>
              </w:rPr>
            </w:pPr>
            <w:r w:rsidRPr="00E13198">
              <w:rPr>
                <w:sz w:val="24"/>
                <w:szCs w:val="24"/>
              </w:rPr>
              <w:t>30</w:t>
            </w:r>
          </w:p>
        </w:tc>
      </w:tr>
      <w:tr w:rsidR="000E3440" w:rsidRPr="000E3440" w14:paraId="563A3C93" w14:textId="77777777" w:rsidTr="00E13198">
        <w:trPr>
          <w:jc w:val="center"/>
        </w:trPr>
        <w:tc>
          <w:tcPr>
            <w:tcW w:w="1523" w:type="dxa"/>
            <w:vMerge w:val="restart"/>
            <w:tcBorders>
              <w:left w:val="single" w:sz="4" w:space="0" w:color="auto"/>
            </w:tcBorders>
            <w:vAlign w:val="center"/>
          </w:tcPr>
          <w:p w14:paraId="1E96A37E" w14:textId="77777777" w:rsidR="000E3440" w:rsidRPr="00E13198" w:rsidRDefault="000E3440" w:rsidP="006E7759">
            <w:pPr>
              <w:jc w:val="center"/>
              <w:rPr>
                <w:sz w:val="24"/>
                <w:szCs w:val="24"/>
              </w:rPr>
            </w:pPr>
            <w:r w:rsidRPr="00E13198">
              <w:rPr>
                <w:sz w:val="24"/>
                <w:szCs w:val="24"/>
              </w:rPr>
              <w:t>PM</w:t>
            </w:r>
            <w:r w:rsidRPr="00E13198">
              <w:rPr>
                <w:sz w:val="24"/>
                <w:szCs w:val="24"/>
                <w:vertAlign w:val="subscript"/>
              </w:rPr>
              <w:t>2.5</w:t>
            </w:r>
          </w:p>
        </w:tc>
        <w:tc>
          <w:tcPr>
            <w:tcW w:w="2280" w:type="dxa"/>
            <w:vAlign w:val="center"/>
          </w:tcPr>
          <w:p w14:paraId="140ACCA0" w14:textId="77777777" w:rsidR="000E3440" w:rsidRPr="00E13198" w:rsidRDefault="000E3440" w:rsidP="006E7759">
            <w:pPr>
              <w:rPr>
                <w:sz w:val="24"/>
                <w:szCs w:val="24"/>
              </w:rPr>
            </w:pPr>
            <w:r w:rsidRPr="00E13198">
              <w:rPr>
                <w:sz w:val="24"/>
                <w:szCs w:val="24"/>
              </w:rPr>
              <w:t>Annual arithmetic mean</w:t>
            </w:r>
          </w:p>
        </w:tc>
        <w:tc>
          <w:tcPr>
            <w:tcW w:w="1904" w:type="dxa"/>
            <w:vAlign w:val="center"/>
          </w:tcPr>
          <w:p w14:paraId="7D58E446" w14:textId="77777777" w:rsidR="000E3440" w:rsidRPr="00E13198" w:rsidRDefault="000E3440" w:rsidP="006E7759">
            <w:pPr>
              <w:jc w:val="center"/>
              <w:rPr>
                <w:sz w:val="24"/>
                <w:szCs w:val="24"/>
              </w:rPr>
            </w:pPr>
            <w:r w:rsidRPr="00E13198">
              <w:rPr>
                <w:sz w:val="24"/>
                <w:szCs w:val="24"/>
              </w:rPr>
              <w:t>4</w:t>
            </w:r>
          </w:p>
        </w:tc>
      </w:tr>
      <w:tr w:rsidR="000E3440" w:rsidRPr="000E3440" w14:paraId="72155BAC" w14:textId="77777777" w:rsidTr="00E13198">
        <w:trPr>
          <w:jc w:val="center"/>
        </w:trPr>
        <w:tc>
          <w:tcPr>
            <w:tcW w:w="1523" w:type="dxa"/>
            <w:vMerge/>
            <w:tcBorders>
              <w:left w:val="single" w:sz="4" w:space="0" w:color="auto"/>
            </w:tcBorders>
            <w:vAlign w:val="center"/>
          </w:tcPr>
          <w:p w14:paraId="1332CA04" w14:textId="77777777" w:rsidR="000E3440" w:rsidRPr="00E13198" w:rsidRDefault="000E3440" w:rsidP="006E7759">
            <w:pPr>
              <w:jc w:val="center"/>
              <w:rPr>
                <w:sz w:val="24"/>
                <w:szCs w:val="24"/>
              </w:rPr>
            </w:pPr>
          </w:p>
        </w:tc>
        <w:tc>
          <w:tcPr>
            <w:tcW w:w="2280" w:type="dxa"/>
            <w:vAlign w:val="center"/>
          </w:tcPr>
          <w:p w14:paraId="1E7CC389" w14:textId="77777777" w:rsidR="000E3440" w:rsidRPr="00E13198" w:rsidRDefault="000E3440" w:rsidP="006E7759">
            <w:pPr>
              <w:rPr>
                <w:sz w:val="24"/>
                <w:szCs w:val="24"/>
              </w:rPr>
            </w:pPr>
            <w:r w:rsidRPr="00E13198">
              <w:rPr>
                <w:sz w:val="24"/>
                <w:szCs w:val="24"/>
              </w:rPr>
              <w:t>24-hour maximum</w:t>
            </w:r>
          </w:p>
        </w:tc>
        <w:tc>
          <w:tcPr>
            <w:tcW w:w="1904" w:type="dxa"/>
            <w:vAlign w:val="center"/>
          </w:tcPr>
          <w:p w14:paraId="33662E92" w14:textId="77777777" w:rsidR="000E3440" w:rsidRPr="00E13198" w:rsidRDefault="000E3440" w:rsidP="006E7759">
            <w:pPr>
              <w:jc w:val="center"/>
              <w:rPr>
                <w:sz w:val="24"/>
                <w:szCs w:val="24"/>
              </w:rPr>
            </w:pPr>
            <w:r w:rsidRPr="00E13198">
              <w:rPr>
                <w:sz w:val="24"/>
                <w:szCs w:val="24"/>
              </w:rPr>
              <w:t>9</w:t>
            </w:r>
          </w:p>
        </w:tc>
      </w:tr>
    </w:tbl>
    <w:p w14:paraId="386ABE03" w14:textId="77777777" w:rsidR="004716DA" w:rsidRPr="00E13198" w:rsidRDefault="00B13F93" w:rsidP="000A77E1">
      <w:pPr>
        <w:rPr>
          <w:sz w:val="24"/>
          <w:szCs w:val="24"/>
        </w:rPr>
      </w:pPr>
      <w:r>
        <w:rPr>
          <w:sz w:val="24"/>
          <w:szCs w:val="24"/>
        </w:rPr>
        <w:t xml:space="preserve">                                 </w:t>
      </w:r>
      <w:r w:rsidRPr="007C6C72">
        <w:rPr>
          <w:sz w:val="24"/>
          <w:szCs w:val="24"/>
        </w:rPr>
        <w:t>Ref</w:t>
      </w:r>
      <w:r>
        <w:rPr>
          <w:sz w:val="24"/>
          <w:szCs w:val="24"/>
        </w:rPr>
        <w:t xml:space="preserve">erence: </w:t>
      </w:r>
      <w:r w:rsidRPr="007C6C72">
        <w:rPr>
          <w:sz w:val="24"/>
          <w:szCs w:val="24"/>
        </w:rPr>
        <w:t xml:space="preserve"> </w:t>
      </w:r>
      <w:r w:rsidRPr="000E3440">
        <w:rPr>
          <w:sz w:val="24"/>
          <w:szCs w:val="24"/>
        </w:rPr>
        <w:t xml:space="preserve">Title 129 Ch. 19, </w:t>
      </w:r>
      <w:r w:rsidRPr="000E3440">
        <w:rPr>
          <w:sz w:val="24"/>
          <w:szCs w:val="24"/>
          <w:u w:val="single"/>
        </w:rPr>
        <w:t>012</w:t>
      </w:r>
      <w:r w:rsidRPr="007C6C72">
        <w:rPr>
          <w:sz w:val="24"/>
          <w:szCs w:val="24"/>
        </w:rPr>
        <w:t xml:space="preserve"> </w:t>
      </w:r>
      <w:r>
        <w:rPr>
          <w:sz w:val="24"/>
          <w:szCs w:val="24"/>
        </w:rPr>
        <w:t xml:space="preserve">and </w:t>
      </w:r>
      <w:r w:rsidRPr="000E3440">
        <w:rPr>
          <w:sz w:val="24"/>
          <w:szCs w:val="24"/>
        </w:rPr>
        <w:t>40 CFR 51.166</w:t>
      </w:r>
    </w:p>
    <w:p w14:paraId="72083B8C" w14:textId="77777777" w:rsidR="000A77E1" w:rsidRPr="00D511FD" w:rsidRDefault="000A77E1" w:rsidP="00D511FD">
      <w:pPr>
        <w:pStyle w:val="Heading1"/>
      </w:pPr>
      <w:bookmarkStart w:id="11" w:name="_Toc489256244"/>
      <w:r w:rsidRPr="00E13198">
        <w:t>NO</w:t>
      </w:r>
      <w:r w:rsidR="00DB4D0D" w:rsidRPr="00DB4D0D">
        <w:rPr>
          <w:vertAlign w:val="subscript"/>
        </w:rPr>
        <w:t>2</w:t>
      </w:r>
      <w:r w:rsidR="00D511FD">
        <w:t xml:space="preserve"> Analysis</w:t>
      </w:r>
      <w:bookmarkEnd w:id="11"/>
    </w:p>
    <w:p w14:paraId="40E16E7C" w14:textId="77777777" w:rsidR="000A77E1" w:rsidRPr="00E13198" w:rsidRDefault="005A4A7B" w:rsidP="000A77E1">
      <w:pPr>
        <w:rPr>
          <w:sz w:val="24"/>
          <w:szCs w:val="24"/>
        </w:rPr>
      </w:pPr>
      <w:r w:rsidRPr="00E13198">
        <w:rPr>
          <w:sz w:val="24"/>
          <w:szCs w:val="24"/>
        </w:rPr>
        <w:t>A</w:t>
      </w:r>
      <w:r w:rsidR="00680838" w:rsidRPr="00E13198">
        <w:rPr>
          <w:sz w:val="24"/>
          <w:szCs w:val="24"/>
        </w:rPr>
        <w:t xml:space="preserve">mbient air impacts from </w:t>
      </w:r>
      <w:r w:rsidR="000A77E1" w:rsidRPr="00E13198">
        <w:rPr>
          <w:sz w:val="24"/>
          <w:szCs w:val="24"/>
        </w:rPr>
        <w:t>NO</w:t>
      </w:r>
      <w:r w:rsidR="00680838" w:rsidRPr="00E13198">
        <w:rPr>
          <w:sz w:val="24"/>
          <w:szCs w:val="24"/>
        </w:rPr>
        <w:t>x</w:t>
      </w:r>
      <w:r w:rsidRPr="00E13198">
        <w:rPr>
          <w:sz w:val="24"/>
          <w:szCs w:val="24"/>
        </w:rPr>
        <w:t xml:space="preserve"> follows a </w:t>
      </w:r>
      <w:r w:rsidR="000A77E1" w:rsidRPr="00E13198">
        <w:rPr>
          <w:sz w:val="24"/>
          <w:szCs w:val="24"/>
        </w:rPr>
        <w:t>three tiered screening approach for point sources:</w:t>
      </w:r>
    </w:p>
    <w:p w14:paraId="23585202" w14:textId="77777777" w:rsidR="000A77E1" w:rsidRPr="00E13198" w:rsidRDefault="000A77E1" w:rsidP="000A77E1">
      <w:pPr>
        <w:rPr>
          <w:sz w:val="24"/>
          <w:szCs w:val="24"/>
        </w:rPr>
      </w:pPr>
    </w:p>
    <w:p w14:paraId="0E4ECABB" w14:textId="77777777" w:rsidR="000A77E1" w:rsidRPr="00E13198" w:rsidRDefault="000A77E1" w:rsidP="000A77E1">
      <w:pPr>
        <w:numPr>
          <w:ilvl w:val="0"/>
          <w:numId w:val="14"/>
        </w:numPr>
        <w:rPr>
          <w:sz w:val="24"/>
          <w:szCs w:val="24"/>
        </w:rPr>
      </w:pPr>
      <w:r w:rsidRPr="00E13198">
        <w:rPr>
          <w:sz w:val="24"/>
          <w:szCs w:val="24"/>
        </w:rPr>
        <w:t xml:space="preserve">Tier 1 </w:t>
      </w:r>
      <w:r w:rsidR="00097F75">
        <w:rPr>
          <w:sz w:val="24"/>
          <w:szCs w:val="24"/>
        </w:rPr>
        <w:t>-</w:t>
      </w:r>
      <w:r w:rsidRPr="00E13198">
        <w:rPr>
          <w:sz w:val="24"/>
          <w:szCs w:val="24"/>
        </w:rPr>
        <w:t xml:space="preserve"> </w:t>
      </w:r>
      <w:r w:rsidR="00246683" w:rsidRPr="00E13198">
        <w:rPr>
          <w:sz w:val="24"/>
          <w:szCs w:val="24"/>
        </w:rPr>
        <w:t>A</w:t>
      </w:r>
      <w:r w:rsidRPr="00E13198">
        <w:rPr>
          <w:sz w:val="24"/>
          <w:szCs w:val="24"/>
        </w:rPr>
        <w:t>ssumes complete conversion of NO</w:t>
      </w:r>
      <w:r w:rsidR="00680838" w:rsidRPr="00E13198">
        <w:rPr>
          <w:sz w:val="24"/>
          <w:szCs w:val="24"/>
        </w:rPr>
        <w:t>x</w:t>
      </w:r>
      <w:r w:rsidRPr="00E13198">
        <w:rPr>
          <w:sz w:val="24"/>
          <w:szCs w:val="24"/>
        </w:rPr>
        <w:t xml:space="preserve"> to NO</w:t>
      </w:r>
      <w:r w:rsidRPr="00E13198">
        <w:rPr>
          <w:sz w:val="24"/>
          <w:szCs w:val="24"/>
          <w:vertAlign w:val="subscript"/>
        </w:rPr>
        <w:t>2</w:t>
      </w:r>
    </w:p>
    <w:p w14:paraId="7FC41DA7" w14:textId="77777777" w:rsidR="000A77E1" w:rsidRPr="00E13198" w:rsidRDefault="000A77E1" w:rsidP="000A77E1">
      <w:pPr>
        <w:numPr>
          <w:ilvl w:val="0"/>
          <w:numId w:val="14"/>
        </w:numPr>
        <w:rPr>
          <w:sz w:val="24"/>
          <w:szCs w:val="24"/>
        </w:rPr>
      </w:pPr>
      <w:r w:rsidRPr="00E13198">
        <w:rPr>
          <w:sz w:val="24"/>
          <w:szCs w:val="24"/>
        </w:rPr>
        <w:t xml:space="preserve">Tier 2 </w:t>
      </w:r>
      <w:r w:rsidR="00097F75">
        <w:rPr>
          <w:sz w:val="24"/>
          <w:szCs w:val="24"/>
        </w:rPr>
        <w:t>-</w:t>
      </w:r>
      <w:r w:rsidRPr="00E13198">
        <w:rPr>
          <w:sz w:val="24"/>
          <w:szCs w:val="24"/>
        </w:rPr>
        <w:t xml:space="preserve"> Ambient Ratio Method</w:t>
      </w:r>
      <w:r w:rsidR="00246683" w:rsidRPr="00E13198">
        <w:rPr>
          <w:sz w:val="24"/>
          <w:szCs w:val="24"/>
        </w:rPr>
        <w:t>s,</w:t>
      </w:r>
      <w:r w:rsidRPr="00E13198">
        <w:rPr>
          <w:sz w:val="24"/>
          <w:szCs w:val="24"/>
        </w:rPr>
        <w:t xml:space="preserve"> ARM and ARM2</w:t>
      </w:r>
    </w:p>
    <w:p w14:paraId="21B298F0" w14:textId="77777777" w:rsidR="00FF07C2" w:rsidRPr="00E13198" w:rsidRDefault="00FF07C2" w:rsidP="00FF07C2">
      <w:pPr>
        <w:numPr>
          <w:ilvl w:val="1"/>
          <w:numId w:val="14"/>
        </w:numPr>
        <w:rPr>
          <w:sz w:val="24"/>
          <w:szCs w:val="24"/>
        </w:rPr>
      </w:pPr>
      <w:r w:rsidRPr="00E13198">
        <w:rPr>
          <w:sz w:val="24"/>
          <w:szCs w:val="24"/>
        </w:rPr>
        <w:t>ARM uses default values, 0.75 for annual NO2, and 0.80 for 1-hour NO</w:t>
      </w:r>
      <w:r w:rsidRPr="00E13198">
        <w:rPr>
          <w:sz w:val="24"/>
          <w:szCs w:val="24"/>
          <w:vertAlign w:val="subscript"/>
        </w:rPr>
        <w:t>2</w:t>
      </w:r>
    </w:p>
    <w:p w14:paraId="5BA20009" w14:textId="77777777" w:rsidR="00FF07C2" w:rsidRPr="00E13198" w:rsidRDefault="00FF07C2" w:rsidP="00FF07C2">
      <w:pPr>
        <w:numPr>
          <w:ilvl w:val="1"/>
          <w:numId w:val="14"/>
        </w:numPr>
        <w:rPr>
          <w:sz w:val="24"/>
          <w:szCs w:val="24"/>
        </w:rPr>
      </w:pPr>
      <w:r w:rsidRPr="00E13198">
        <w:rPr>
          <w:sz w:val="24"/>
          <w:szCs w:val="24"/>
        </w:rPr>
        <w:t>ARM2 uses a variable ambient ratio</w:t>
      </w:r>
    </w:p>
    <w:p w14:paraId="70E832BB" w14:textId="77777777" w:rsidR="00D97D0A" w:rsidRPr="00E13198" w:rsidRDefault="000A77E1" w:rsidP="00D97D0A">
      <w:pPr>
        <w:numPr>
          <w:ilvl w:val="0"/>
          <w:numId w:val="14"/>
        </w:numPr>
        <w:rPr>
          <w:sz w:val="24"/>
          <w:szCs w:val="24"/>
        </w:rPr>
      </w:pPr>
      <w:r w:rsidRPr="00E13198">
        <w:rPr>
          <w:sz w:val="24"/>
          <w:szCs w:val="24"/>
        </w:rPr>
        <w:t xml:space="preserve">Tier 3 </w:t>
      </w:r>
      <w:r w:rsidR="00097F75">
        <w:rPr>
          <w:sz w:val="24"/>
          <w:szCs w:val="24"/>
        </w:rPr>
        <w:t>-</w:t>
      </w:r>
      <w:r w:rsidR="00246683" w:rsidRPr="00E13198">
        <w:rPr>
          <w:sz w:val="24"/>
          <w:szCs w:val="24"/>
        </w:rPr>
        <w:t xml:space="preserve"> </w:t>
      </w:r>
      <w:r w:rsidRPr="00E13198">
        <w:rPr>
          <w:sz w:val="24"/>
          <w:szCs w:val="24"/>
        </w:rPr>
        <w:t>OLM and PVMRM</w:t>
      </w:r>
    </w:p>
    <w:p w14:paraId="16EF2B7E" w14:textId="77777777" w:rsidR="000A77E1" w:rsidRPr="00E13198" w:rsidRDefault="000A77E1" w:rsidP="000A77E1">
      <w:pPr>
        <w:rPr>
          <w:sz w:val="24"/>
          <w:szCs w:val="24"/>
        </w:rPr>
      </w:pPr>
    </w:p>
    <w:p w14:paraId="7064487A" w14:textId="77777777" w:rsidR="000A77E1" w:rsidRPr="00E13198" w:rsidRDefault="00680838" w:rsidP="000A77E1">
      <w:pPr>
        <w:rPr>
          <w:sz w:val="24"/>
          <w:szCs w:val="24"/>
        </w:rPr>
      </w:pPr>
      <w:r w:rsidRPr="00E13198">
        <w:rPr>
          <w:sz w:val="24"/>
          <w:szCs w:val="24"/>
        </w:rPr>
        <w:t>O</w:t>
      </w:r>
      <w:r w:rsidR="00246683" w:rsidRPr="00E13198">
        <w:rPr>
          <w:sz w:val="24"/>
          <w:szCs w:val="24"/>
        </w:rPr>
        <w:t xml:space="preserve">ptions </w:t>
      </w:r>
      <w:r w:rsidR="005A4A7B" w:rsidRPr="00E13198">
        <w:rPr>
          <w:sz w:val="24"/>
          <w:szCs w:val="24"/>
        </w:rPr>
        <w:t xml:space="preserve">ARM, </w:t>
      </w:r>
      <w:r w:rsidR="000A77E1" w:rsidRPr="00E13198">
        <w:rPr>
          <w:sz w:val="24"/>
          <w:szCs w:val="24"/>
        </w:rPr>
        <w:t xml:space="preserve">ARM2, PVMRM, and OLM </w:t>
      </w:r>
      <w:r w:rsidR="00246683" w:rsidRPr="00E13198">
        <w:rPr>
          <w:sz w:val="24"/>
          <w:szCs w:val="24"/>
        </w:rPr>
        <w:t>a</w:t>
      </w:r>
      <w:r w:rsidR="00FF07C2" w:rsidRPr="00E13198">
        <w:rPr>
          <w:sz w:val="24"/>
          <w:szCs w:val="24"/>
        </w:rPr>
        <w:t>re</w:t>
      </w:r>
      <w:r w:rsidR="00246683" w:rsidRPr="00E13198">
        <w:rPr>
          <w:sz w:val="24"/>
          <w:szCs w:val="24"/>
        </w:rPr>
        <w:t xml:space="preserve"> </w:t>
      </w:r>
      <w:r w:rsidR="000A77E1" w:rsidRPr="00E13198">
        <w:rPr>
          <w:sz w:val="24"/>
          <w:szCs w:val="24"/>
        </w:rPr>
        <w:t xml:space="preserve">regulatory default options.  </w:t>
      </w:r>
      <w:r w:rsidR="00D97D0A" w:rsidRPr="00E13198">
        <w:rPr>
          <w:sz w:val="24"/>
          <w:szCs w:val="24"/>
        </w:rPr>
        <w:t>A</w:t>
      </w:r>
      <w:r w:rsidR="00246683" w:rsidRPr="00E13198">
        <w:rPr>
          <w:sz w:val="24"/>
          <w:szCs w:val="24"/>
        </w:rPr>
        <w:t xml:space="preserve"> Tier 3 analysis using </w:t>
      </w:r>
      <w:r w:rsidR="000A77E1" w:rsidRPr="00E13198">
        <w:rPr>
          <w:sz w:val="24"/>
          <w:szCs w:val="24"/>
        </w:rPr>
        <w:t xml:space="preserve">OLM </w:t>
      </w:r>
      <w:r w:rsidR="00D97D0A" w:rsidRPr="00E13198">
        <w:rPr>
          <w:sz w:val="24"/>
          <w:szCs w:val="24"/>
        </w:rPr>
        <w:t xml:space="preserve">or </w:t>
      </w:r>
      <w:r w:rsidR="001B0ED7" w:rsidRPr="00E13198">
        <w:rPr>
          <w:sz w:val="24"/>
          <w:szCs w:val="24"/>
        </w:rPr>
        <w:t xml:space="preserve">PVMRM </w:t>
      </w:r>
      <w:r w:rsidR="000A77E1" w:rsidRPr="00E13198">
        <w:rPr>
          <w:sz w:val="24"/>
          <w:szCs w:val="24"/>
        </w:rPr>
        <w:t>require</w:t>
      </w:r>
      <w:r w:rsidR="00246683" w:rsidRPr="00E13198">
        <w:rPr>
          <w:sz w:val="24"/>
          <w:szCs w:val="24"/>
        </w:rPr>
        <w:t>s</w:t>
      </w:r>
      <w:r w:rsidR="000A77E1" w:rsidRPr="00E13198">
        <w:rPr>
          <w:sz w:val="24"/>
          <w:szCs w:val="24"/>
        </w:rPr>
        <w:t xml:space="preserve"> </w:t>
      </w:r>
      <w:r w:rsidR="001B0ED7" w:rsidRPr="00E13198">
        <w:rPr>
          <w:sz w:val="24"/>
          <w:szCs w:val="24"/>
        </w:rPr>
        <w:t xml:space="preserve">values for </w:t>
      </w:r>
      <w:r w:rsidR="00246683" w:rsidRPr="00E13198">
        <w:rPr>
          <w:sz w:val="24"/>
          <w:szCs w:val="24"/>
        </w:rPr>
        <w:t xml:space="preserve">both </w:t>
      </w:r>
      <w:r w:rsidR="000A77E1" w:rsidRPr="00E13198">
        <w:rPr>
          <w:sz w:val="24"/>
          <w:szCs w:val="24"/>
        </w:rPr>
        <w:t>in-stack ratios</w:t>
      </w:r>
      <w:r w:rsidR="001B0ED7" w:rsidRPr="00E13198">
        <w:rPr>
          <w:sz w:val="24"/>
          <w:szCs w:val="24"/>
        </w:rPr>
        <w:t xml:space="preserve"> and an </w:t>
      </w:r>
      <w:r w:rsidR="000A77E1" w:rsidRPr="00E13198">
        <w:rPr>
          <w:sz w:val="24"/>
          <w:szCs w:val="24"/>
        </w:rPr>
        <w:t>ambient air ratio</w:t>
      </w:r>
      <w:r w:rsidR="001B0ED7" w:rsidRPr="00E13198">
        <w:rPr>
          <w:sz w:val="24"/>
          <w:szCs w:val="24"/>
        </w:rPr>
        <w:t xml:space="preserve">, which should be fully documented in the </w:t>
      </w:r>
      <w:r w:rsidR="003C3872" w:rsidRPr="00E13198">
        <w:rPr>
          <w:sz w:val="24"/>
          <w:szCs w:val="24"/>
        </w:rPr>
        <w:t>final</w:t>
      </w:r>
      <w:r w:rsidR="001B0ED7" w:rsidRPr="00E13198">
        <w:rPr>
          <w:sz w:val="24"/>
          <w:szCs w:val="24"/>
        </w:rPr>
        <w:t xml:space="preserve"> modeling report.  </w:t>
      </w:r>
      <w:r w:rsidR="00246683" w:rsidRPr="00E13198">
        <w:rPr>
          <w:sz w:val="24"/>
          <w:szCs w:val="24"/>
        </w:rPr>
        <w:t xml:space="preserve">Additionally, a Tier 3 </w:t>
      </w:r>
      <w:r w:rsidR="003C3872" w:rsidRPr="00E13198">
        <w:rPr>
          <w:sz w:val="24"/>
          <w:szCs w:val="24"/>
        </w:rPr>
        <w:t>OLM</w:t>
      </w:r>
      <w:r w:rsidR="00246683" w:rsidRPr="00E13198">
        <w:rPr>
          <w:sz w:val="24"/>
          <w:szCs w:val="24"/>
        </w:rPr>
        <w:t xml:space="preserve"> and PVMRM analysis requires h</w:t>
      </w:r>
      <w:r w:rsidR="001B0ED7" w:rsidRPr="00E13198">
        <w:rPr>
          <w:sz w:val="24"/>
          <w:szCs w:val="24"/>
        </w:rPr>
        <w:t xml:space="preserve">ourly ozone files </w:t>
      </w:r>
      <w:r w:rsidR="00246683" w:rsidRPr="00E13198">
        <w:rPr>
          <w:sz w:val="24"/>
          <w:szCs w:val="24"/>
        </w:rPr>
        <w:t xml:space="preserve">and those files are </w:t>
      </w:r>
      <w:r w:rsidR="001B0ED7" w:rsidRPr="00E13198">
        <w:rPr>
          <w:sz w:val="24"/>
          <w:szCs w:val="24"/>
        </w:rPr>
        <w:t>available from the NDEQ.</w:t>
      </w:r>
    </w:p>
    <w:p w14:paraId="523D6A01" w14:textId="77777777" w:rsidR="00B870C9" w:rsidRDefault="00B870C9" w:rsidP="00B870C9">
      <w:pPr>
        <w:pStyle w:val="Heading1"/>
        <w:spacing w:before="0"/>
      </w:pPr>
    </w:p>
    <w:p w14:paraId="1918819B" w14:textId="77777777" w:rsidR="000A77E1" w:rsidRPr="009D50B1" w:rsidRDefault="00162D89" w:rsidP="00B870C9">
      <w:pPr>
        <w:pStyle w:val="Heading1"/>
        <w:spacing w:before="0"/>
      </w:pPr>
      <w:bookmarkStart w:id="12" w:name="_Toc489256245"/>
      <w:r w:rsidRPr="009D50B1">
        <w:t xml:space="preserve">Ozone and </w:t>
      </w:r>
      <w:r w:rsidR="00847624">
        <w:t xml:space="preserve">Secondary </w:t>
      </w:r>
      <w:r w:rsidR="000A77E1" w:rsidRPr="009D50B1">
        <w:t>PM</w:t>
      </w:r>
      <w:r w:rsidR="000A77E1" w:rsidRPr="009D50B1">
        <w:rPr>
          <w:vertAlign w:val="subscript"/>
        </w:rPr>
        <w:t>2.5</w:t>
      </w:r>
      <w:bookmarkEnd w:id="12"/>
    </w:p>
    <w:p w14:paraId="5C30D798" w14:textId="77777777" w:rsidR="003B7B51" w:rsidRPr="009D50B1" w:rsidRDefault="00093900" w:rsidP="003B7B51">
      <w:pPr>
        <w:rPr>
          <w:sz w:val="24"/>
          <w:szCs w:val="24"/>
        </w:rPr>
      </w:pPr>
      <w:r w:rsidRPr="009D50B1">
        <w:rPr>
          <w:sz w:val="24"/>
          <w:szCs w:val="24"/>
        </w:rPr>
        <w:t>Ozone and s</w:t>
      </w:r>
      <w:r w:rsidR="00C03B3D" w:rsidRPr="009D50B1">
        <w:rPr>
          <w:sz w:val="24"/>
          <w:szCs w:val="24"/>
        </w:rPr>
        <w:t>econdary PM</w:t>
      </w:r>
      <w:r w:rsidR="00C03B3D" w:rsidRPr="009D50B1">
        <w:rPr>
          <w:sz w:val="24"/>
          <w:szCs w:val="24"/>
          <w:vertAlign w:val="subscript"/>
        </w:rPr>
        <w:t>2.5</w:t>
      </w:r>
      <w:r w:rsidR="000E29C9" w:rsidRPr="009D50B1">
        <w:rPr>
          <w:sz w:val="24"/>
          <w:szCs w:val="24"/>
        </w:rPr>
        <w:t xml:space="preserve"> emissions</w:t>
      </w:r>
      <w:r w:rsidR="000D0F7B" w:rsidRPr="009D50B1">
        <w:rPr>
          <w:sz w:val="24"/>
          <w:szCs w:val="24"/>
        </w:rPr>
        <w:t xml:space="preserve"> are formed in the atmosphere as a result of photochemical reactions with gaseous pollutants </w:t>
      </w:r>
      <w:r w:rsidR="007F51D0" w:rsidRPr="009D50B1">
        <w:rPr>
          <w:sz w:val="24"/>
          <w:szCs w:val="24"/>
        </w:rPr>
        <w:t>like</w:t>
      </w:r>
      <w:r w:rsidR="000D0F7B" w:rsidRPr="009D50B1">
        <w:rPr>
          <w:sz w:val="24"/>
          <w:szCs w:val="24"/>
        </w:rPr>
        <w:t xml:space="preserve"> sulfates, nitrates, and ammonia in the atmosphere</w:t>
      </w:r>
      <w:r w:rsidR="003C3872" w:rsidRPr="009D50B1">
        <w:rPr>
          <w:sz w:val="24"/>
          <w:szCs w:val="24"/>
        </w:rPr>
        <w:t xml:space="preserve">.  </w:t>
      </w:r>
      <w:r w:rsidR="003B7B51" w:rsidRPr="009D50B1">
        <w:rPr>
          <w:sz w:val="24"/>
          <w:szCs w:val="24"/>
        </w:rPr>
        <w:t>On January 4, 2012, EPA agreed to initiate rulemaking in response to a July 28, 2010 Sierra Club petition to designate air quality models for ozone and secondary PM</w:t>
      </w:r>
      <w:r w:rsidR="003B7B51" w:rsidRPr="009D50B1">
        <w:rPr>
          <w:sz w:val="24"/>
          <w:szCs w:val="24"/>
          <w:vertAlign w:val="subscript"/>
        </w:rPr>
        <w:t>2.5</w:t>
      </w:r>
      <w:r w:rsidR="003B7B51" w:rsidRPr="009D50B1">
        <w:rPr>
          <w:sz w:val="24"/>
          <w:szCs w:val="24"/>
        </w:rPr>
        <w:t>.  Since then, EPA has promulgated guidance documents to address ozone and secondary PM</w:t>
      </w:r>
      <w:r w:rsidR="003B7B51" w:rsidRPr="009D50B1">
        <w:rPr>
          <w:sz w:val="24"/>
          <w:szCs w:val="24"/>
          <w:vertAlign w:val="subscript"/>
        </w:rPr>
        <w:t>2.5</w:t>
      </w:r>
      <w:r w:rsidR="003B7B51" w:rsidRPr="009D50B1">
        <w:rPr>
          <w:sz w:val="24"/>
          <w:szCs w:val="24"/>
        </w:rPr>
        <w:t xml:space="preserve"> emissions.</w:t>
      </w:r>
    </w:p>
    <w:p w14:paraId="58CBDC93" w14:textId="77777777" w:rsidR="003B7B51" w:rsidRPr="009D50B1" w:rsidRDefault="003B7B51" w:rsidP="003B7B51">
      <w:pPr>
        <w:pStyle w:val="Default"/>
        <w:rPr>
          <w:color w:val="auto"/>
        </w:rPr>
      </w:pPr>
    </w:p>
    <w:p w14:paraId="1FD9E4FF" w14:textId="77777777" w:rsidR="003B7B51" w:rsidRPr="009D50B1" w:rsidRDefault="003B7B51" w:rsidP="003B7B51">
      <w:pPr>
        <w:pStyle w:val="Default"/>
        <w:numPr>
          <w:ilvl w:val="0"/>
          <w:numId w:val="30"/>
        </w:numPr>
        <w:rPr>
          <w:color w:val="auto"/>
        </w:rPr>
      </w:pPr>
      <w:r w:rsidRPr="009D50B1">
        <w:rPr>
          <w:color w:val="auto"/>
        </w:rPr>
        <w:t>December 02, 2016: US EPA "Guidance on the Development of Modeled Emission Rates for Precursors (MERPs) as a Tier l Demonstration Tool for Ozone and PM</w:t>
      </w:r>
      <w:r w:rsidRPr="009D50B1">
        <w:rPr>
          <w:color w:val="auto"/>
          <w:vertAlign w:val="subscript"/>
        </w:rPr>
        <w:t>2.5</w:t>
      </w:r>
      <w:r w:rsidRPr="009D50B1">
        <w:rPr>
          <w:color w:val="auto"/>
        </w:rPr>
        <w:t xml:space="preserve"> under the PSD Permitting Program."</w:t>
      </w:r>
    </w:p>
    <w:p w14:paraId="0532CC34" w14:textId="77777777" w:rsidR="003B7B51" w:rsidRPr="009D50B1" w:rsidRDefault="003B7B51" w:rsidP="003B7B51">
      <w:pPr>
        <w:pStyle w:val="Default"/>
        <w:numPr>
          <w:ilvl w:val="0"/>
          <w:numId w:val="30"/>
        </w:numPr>
        <w:rPr>
          <w:color w:val="auto"/>
        </w:rPr>
      </w:pPr>
      <w:r w:rsidRPr="009D50B1">
        <w:rPr>
          <w:color w:val="auto"/>
        </w:rPr>
        <w:t xml:space="preserve">December, 2016: </w:t>
      </w:r>
      <w:r w:rsidR="003B3A01" w:rsidRPr="009D50B1">
        <w:rPr>
          <w:color w:val="auto"/>
        </w:rPr>
        <w:t>US EPA "</w:t>
      </w:r>
      <w:r w:rsidRPr="009D50B1">
        <w:rPr>
          <w:color w:val="auto"/>
        </w:rPr>
        <w:t>Guidance on the Use of Models for Assessing the Impacts of Emissions from Single Sources on the Secondarily Formed Pollutants: Ozone and PM</w:t>
      </w:r>
      <w:r w:rsidRPr="009D50B1">
        <w:rPr>
          <w:color w:val="auto"/>
          <w:vertAlign w:val="subscript"/>
        </w:rPr>
        <w:t>2.5</w:t>
      </w:r>
      <w:r w:rsidR="003B3A01" w:rsidRPr="009D50B1">
        <w:rPr>
          <w:color w:val="auto"/>
        </w:rPr>
        <w:t>"</w:t>
      </w:r>
      <w:r w:rsidR="00907B25">
        <w:rPr>
          <w:color w:val="auto"/>
        </w:rPr>
        <w:t>.</w:t>
      </w:r>
    </w:p>
    <w:p w14:paraId="08D097E6" w14:textId="77777777" w:rsidR="003B7B51" w:rsidRPr="009D50B1" w:rsidRDefault="003B7B51" w:rsidP="00FF0772">
      <w:pPr>
        <w:rPr>
          <w:sz w:val="24"/>
          <w:szCs w:val="24"/>
        </w:rPr>
      </w:pPr>
    </w:p>
    <w:p w14:paraId="455FFE17" w14:textId="77777777" w:rsidR="003B7B51" w:rsidRDefault="003B7B51" w:rsidP="003B7B51">
      <w:pPr>
        <w:rPr>
          <w:sz w:val="24"/>
          <w:szCs w:val="24"/>
        </w:rPr>
      </w:pPr>
      <w:r w:rsidRPr="009D50B1">
        <w:rPr>
          <w:sz w:val="24"/>
          <w:szCs w:val="24"/>
        </w:rPr>
        <w:t>For single source impacts, primary PM</w:t>
      </w:r>
      <w:r w:rsidRPr="009D50B1">
        <w:rPr>
          <w:sz w:val="24"/>
          <w:szCs w:val="24"/>
          <w:vertAlign w:val="subscript"/>
        </w:rPr>
        <w:t>2.5</w:t>
      </w:r>
      <w:r w:rsidRPr="009D50B1">
        <w:rPr>
          <w:sz w:val="24"/>
          <w:szCs w:val="24"/>
        </w:rPr>
        <w:t xml:space="preserve"> can be evaluated using AERMOD</w:t>
      </w:r>
      <w:r w:rsidR="00847624">
        <w:rPr>
          <w:sz w:val="24"/>
          <w:szCs w:val="24"/>
        </w:rPr>
        <w:t xml:space="preserve">. </w:t>
      </w:r>
      <w:r w:rsidRPr="009D50B1">
        <w:rPr>
          <w:sz w:val="24"/>
          <w:szCs w:val="24"/>
        </w:rPr>
        <w:t xml:space="preserve"> </w:t>
      </w:r>
      <w:r w:rsidR="00847624">
        <w:rPr>
          <w:sz w:val="24"/>
          <w:szCs w:val="24"/>
        </w:rPr>
        <w:t>O</w:t>
      </w:r>
      <w:r w:rsidRPr="009D50B1">
        <w:rPr>
          <w:sz w:val="24"/>
          <w:szCs w:val="24"/>
        </w:rPr>
        <w:t>zone and secondary PM</w:t>
      </w:r>
      <w:r w:rsidRPr="009D50B1">
        <w:rPr>
          <w:sz w:val="24"/>
          <w:szCs w:val="24"/>
          <w:vertAlign w:val="subscript"/>
        </w:rPr>
        <w:t>2.5</w:t>
      </w:r>
      <w:r w:rsidRPr="009D50B1">
        <w:rPr>
          <w:sz w:val="24"/>
          <w:szCs w:val="24"/>
        </w:rPr>
        <w:t xml:space="preserve"> formation </w:t>
      </w:r>
      <w:r w:rsidR="00847624">
        <w:rPr>
          <w:sz w:val="24"/>
          <w:szCs w:val="24"/>
        </w:rPr>
        <w:t>need to be</w:t>
      </w:r>
      <w:r w:rsidRPr="009D50B1">
        <w:rPr>
          <w:sz w:val="24"/>
          <w:szCs w:val="24"/>
        </w:rPr>
        <w:t xml:space="preserve"> evaluated using models incorporating the chemical and physical processes in the formation, decay, and transport of ozone and secondary PM</w:t>
      </w:r>
      <w:r w:rsidRPr="009D50B1">
        <w:rPr>
          <w:sz w:val="24"/>
          <w:szCs w:val="24"/>
          <w:vertAlign w:val="subscript"/>
        </w:rPr>
        <w:t>2.5</w:t>
      </w:r>
      <w:r w:rsidRPr="009D50B1">
        <w:rPr>
          <w:sz w:val="24"/>
          <w:szCs w:val="24"/>
        </w:rPr>
        <w:t>, e.g., photochemical grid models.</w:t>
      </w:r>
      <w:r w:rsidR="00847624">
        <w:rPr>
          <w:sz w:val="24"/>
          <w:szCs w:val="24"/>
        </w:rPr>
        <w:t xml:space="preserve"> </w:t>
      </w:r>
      <w:r w:rsidR="00EB2AED">
        <w:rPr>
          <w:sz w:val="24"/>
          <w:szCs w:val="24"/>
        </w:rPr>
        <w:t xml:space="preserve"> </w:t>
      </w:r>
      <w:r w:rsidR="005C6554">
        <w:rPr>
          <w:sz w:val="24"/>
          <w:szCs w:val="24"/>
        </w:rPr>
        <w:t>At the time this document was being prepared, s</w:t>
      </w:r>
      <w:r w:rsidR="00DB4D0D">
        <w:rPr>
          <w:sz w:val="24"/>
          <w:szCs w:val="24"/>
        </w:rPr>
        <w:t xml:space="preserve">ingle source models </w:t>
      </w:r>
      <w:r w:rsidR="008B2176">
        <w:rPr>
          <w:sz w:val="24"/>
          <w:szCs w:val="24"/>
        </w:rPr>
        <w:t>like SCICHEM are being developed to address ozone and secondary PM</w:t>
      </w:r>
      <w:r w:rsidR="008B2176" w:rsidRPr="0091566B">
        <w:rPr>
          <w:sz w:val="24"/>
          <w:szCs w:val="24"/>
          <w:vertAlign w:val="subscript"/>
        </w:rPr>
        <w:t>2.5</w:t>
      </w:r>
      <w:r w:rsidR="008B2176">
        <w:rPr>
          <w:sz w:val="24"/>
          <w:szCs w:val="24"/>
        </w:rPr>
        <w:t xml:space="preserve"> but are not yet available to the regulated community</w:t>
      </w:r>
      <w:r w:rsidR="00EB2AED">
        <w:rPr>
          <w:sz w:val="24"/>
          <w:szCs w:val="24"/>
        </w:rPr>
        <w:t xml:space="preserve">, except on a case-by-case basis with approval from EPA Region 7.  </w:t>
      </w:r>
    </w:p>
    <w:p w14:paraId="0EA3804A" w14:textId="77777777" w:rsidR="00EB2AED" w:rsidRPr="009D50B1" w:rsidRDefault="00EB2AED" w:rsidP="003B7B51">
      <w:pPr>
        <w:rPr>
          <w:sz w:val="24"/>
          <w:szCs w:val="24"/>
        </w:rPr>
      </w:pPr>
    </w:p>
    <w:p w14:paraId="317D58BF" w14:textId="77777777" w:rsidR="003B7B51" w:rsidRPr="009D50B1" w:rsidRDefault="00FF0772" w:rsidP="00FF0772">
      <w:pPr>
        <w:rPr>
          <w:sz w:val="24"/>
          <w:szCs w:val="24"/>
        </w:rPr>
      </w:pPr>
      <w:r w:rsidRPr="009D50B1">
        <w:rPr>
          <w:sz w:val="24"/>
          <w:szCs w:val="24"/>
        </w:rPr>
        <w:t>40CFR Part 51, Appendix W</w:t>
      </w:r>
      <w:r w:rsidR="0003033A" w:rsidRPr="009D50B1">
        <w:rPr>
          <w:sz w:val="24"/>
          <w:szCs w:val="24"/>
        </w:rPr>
        <w:t>,</w:t>
      </w:r>
      <w:r w:rsidRPr="009D50B1">
        <w:rPr>
          <w:sz w:val="24"/>
          <w:szCs w:val="24"/>
        </w:rPr>
        <w:t xml:space="preserve"> Sections 5.3.2 and 5.4.2 outlines a two tiered approach for ozone and secondary PM</w:t>
      </w:r>
      <w:r w:rsidRPr="009D50B1">
        <w:rPr>
          <w:sz w:val="24"/>
          <w:szCs w:val="24"/>
          <w:vertAlign w:val="subscript"/>
        </w:rPr>
        <w:t>2.5</w:t>
      </w:r>
      <w:r w:rsidR="003B7B51" w:rsidRPr="009D50B1">
        <w:rPr>
          <w:sz w:val="24"/>
          <w:szCs w:val="24"/>
        </w:rPr>
        <w:t xml:space="preserve">.  </w:t>
      </w:r>
      <w:r w:rsidRPr="009D50B1">
        <w:rPr>
          <w:sz w:val="24"/>
          <w:szCs w:val="24"/>
        </w:rPr>
        <w:t xml:space="preserve">The first tier analysis involves using technical information from existing photochemical grid modeling, </w:t>
      </w:r>
      <w:r w:rsidR="003B7B51" w:rsidRPr="009D50B1">
        <w:rPr>
          <w:sz w:val="24"/>
          <w:szCs w:val="24"/>
        </w:rPr>
        <w:t xml:space="preserve">or </w:t>
      </w:r>
      <w:r w:rsidRPr="009D50B1">
        <w:rPr>
          <w:sz w:val="24"/>
          <w:szCs w:val="24"/>
        </w:rPr>
        <w:t xml:space="preserve">published empirical estimates of source specific impacts in combination with other supportive </w:t>
      </w:r>
      <w:r w:rsidR="003B7B51" w:rsidRPr="009D50B1">
        <w:rPr>
          <w:sz w:val="24"/>
          <w:szCs w:val="24"/>
        </w:rPr>
        <w:t>information and analyse</w:t>
      </w:r>
      <w:r w:rsidRPr="009D50B1">
        <w:rPr>
          <w:sz w:val="24"/>
          <w:szCs w:val="24"/>
        </w:rPr>
        <w:t>s for the purposes of estimating secondary impacts from a particular source.</w:t>
      </w:r>
      <w:r w:rsidR="0003033A" w:rsidRPr="009D50B1">
        <w:rPr>
          <w:sz w:val="24"/>
          <w:szCs w:val="24"/>
        </w:rPr>
        <w:t xml:space="preserve">  </w:t>
      </w:r>
      <w:r w:rsidRPr="009D50B1">
        <w:rPr>
          <w:sz w:val="24"/>
          <w:szCs w:val="24"/>
        </w:rPr>
        <w:t xml:space="preserve">The second tier analysis </w:t>
      </w:r>
      <w:r w:rsidR="0003033A" w:rsidRPr="009D50B1">
        <w:rPr>
          <w:sz w:val="24"/>
          <w:szCs w:val="24"/>
        </w:rPr>
        <w:t xml:space="preserve">would include those cases when existing technical information is not </w:t>
      </w:r>
      <w:r w:rsidR="003B7B51" w:rsidRPr="009D50B1">
        <w:rPr>
          <w:sz w:val="24"/>
          <w:szCs w:val="24"/>
        </w:rPr>
        <w:t>available</w:t>
      </w:r>
      <w:r w:rsidR="0003033A" w:rsidRPr="009D50B1">
        <w:rPr>
          <w:sz w:val="24"/>
          <w:szCs w:val="24"/>
        </w:rPr>
        <w:t>, making photochemical grid models more appropriate to assess single source impacts.</w:t>
      </w:r>
    </w:p>
    <w:p w14:paraId="30C26444" w14:textId="77777777" w:rsidR="003B7B51" w:rsidRPr="009D50B1" w:rsidRDefault="003B7B51" w:rsidP="00FF0772">
      <w:pPr>
        <w:rPr>
          <w:sz w:val="24"/>
          <w:szCs w:val="24"/>
        </w:rPr>
      </w:pPr>
    </w:p>
    <w:p w14:paraId="2C8D461E" w14:textId="77777777" w:rsidR="000A77E1" w:rsidRPr="009D50B1" w:rsidRDefault="0003033A" w:rsidP="003B7B51">
      <w:pPr>
        <w:rPr>
          <w:sz w:val="24"/>
          <w:szCs w:val="24"/>
        </w:rPr>
      </w:pPr>
      <w:r w:rsidRPr="009D50B1">
        <w:rPr>
          <w:sz w:val="24"/>
          <w:szCs w:val="24"/>
        </w:rPr>
        <w:t xml:space="preserve">In Nebraska, it is anticipated that a first tier approach will be utilized for nearly all </w:t>
      </w:r>
      <w:r w:rsidR="003B7B51" w:rsidRPr="009D50B1">
        <w:rPr>
          <w:sz w:val="24"/>
          <w:szCs w:val="24"/>
        </w:rPr>
        <w:t>construction</w:t>
      </w:r>
      <w:r w:rsidRPr="009D50B1">
        <w:rPr>
          <w:sz w:val="24"/>
          <w:szCs w:val="24"/>
        </w:rPr>
        <w:t xml:space="preserve"> permit modeling. </w:t>
      </w:r>
      <w:r w:rsidR="003B7B51" w:rsidRPr="009D50B1">
        <w:rPr>
          <w:sz w:val="24"/>
          <w:szCs w:val="24"/>
        </w:rPr>
        <w:t xml:space="preserve">  </w:t>
      </w:r>
      <w:r w:rsidR="00162D89" w:rsidRPr="009D50B1">
        <w:rPr>
          <w:sz w:val="24"/>
          <w:szCs w:val="24"/>
        </w:rPr>
        <w:t>At th</w:t>
      </w:r>
      <w:r w:rsidR="003B7B51" w:rsidRPr="009D50B1">
        <w:rPr>
          <w:sz w:val="24"/>
          <w:szCs w:val="24"/>
        </w:rPr>
        <w:t>e time th</w:t>
      </w:r>
      <w:r w:rsidR="003B3A01" w:rsidRPr="009D50B1">
        <w:rPr>
          <w:sz w:val="24"/>
          <w:szCs w:val="24"/>
        </w:rPr>
        <w:t>is</w:t>
      </w:r>
      <w:r w:rsidR="003B7B51" w:rsidRPr="009D50B1">
        <w:rPr>
          <w:sz w:val="24"/>
          <w:szCs w:val="24"/>
        </w:rPr>
        <w:t xml:space="preserve"> modeling guidance </w:t>
      </w:r>
      <w:r w:rsidR="00675C96">
        <w:rPr>
          <w:sz w:val="24"/>
          <w:szCs w:val="24"/>
        </w:rPr>
        <w:t>was written</w:t>
      </w:r>
      <w:r w:rsidR="003B7B51" w:rsidRPr="009D50B1">
        <w:rPr>
          <w:sz w:val="24"/>
          <w:szCs w:val="24"/>
        </w:rPr>
        <w:t xml:space="preserve">, </w:t>
      </w:r>
      <w:r w:rsidR="00162D89" w:rsidRPr="009D50B1">
        <w:rPr>
          <w:sz w:val="24"/>
          <w:szCs w:val="24"/>
        </w:rPr>
        <w:t xml:space="preserve">the </w:t>
      </w:r>
      <w:r w:rsidR="003B7B51" w:rsidRPr="009D50B1">
        <w:rPr>
          <w:sz w:val="24"/>
          <w:szCs w:val="24"/>
        </w:rPr>
        <w:t xml:space="preserve">Department </w:t>
      </w:r>
      <w:r w:rsidR="00675C96">
        <w:rPr>
          <w:sz w:val="24"/>
          <w:szCs w:val="24"/>
        </w:rPr>
        <w:t>was</w:t>
      </w:r>
      <w:r w:rsidR="00162D89" w:rsidRPr="009D50B1">
        <w:rPr>
          <w:sz w:val="24"/>
          <w:szCs w:val="24"/>
        </w:rPr>
        <w:t xml:space="preserve"> not requiring minor sources to account for ozone or secondary PM</w:t>
      </w:r>
      <w:r w:rsidR="00162D89" w:rsidRPr="009D50B1">
        <w:rPr>
          <w:sz w:val="24"/>
          <w:szCs w:val="24"/>
          <w:vertAlign w:val="subscript"/>
        </w:rPr>
        <w:t>2.5</w:t>
      </w:r>
      <w:r w:rsidR="00162D89" w:rsidRPr="009D50B1">
        <w:rPr>
          <w:sz w:val="24"/>
          <w:szCs w:val="24"/>
        </w:rPr>
        <w:t>.</w:t>
      </w:r>
    </w:p>
    <w:p w14:paraId="42C7B654" w14:textId="77777777" w:rsidR="00B870C9" w:rsidRDefault="00B870C9" w:rsidP="00B870C9">
      <w:pPr>
        <w:pStyle w:val="Heading1"/>
        <w:spacing w:before="0"/>
      </w:pPr>
    </w:p>
    <w:p w14:paraId="02AA8EA9" w14:textId="77777777" w:rsidR="000A77E1" w:rsidRPr="009D50B1" w:rsidRDefault="000A77E1" w:rsidP="00B870C9">
      <w:pPr>
        <w:pStyle w:val="Heading1"/>
        <w:spacing w:before="0"/>
      </w:pPr>
      <w:bookmarkStart w:id="13" w:name="_Toc489256246"/>
      <w:r w:rsidRPr="009D50B1">
        <w:t>Fugitive emissions: Lead (Pb), PM</w:t>
      </w:r>
      <w:r w:rsidRPr="009D50B1">
        <w:rPr>
          <w:vertAlign w:val="subscript"/>
        </w:rPr>
        <w:t>10</w:t>
      </w:r>
      <w:r w:rsidRPr="009D50B1">
        <w:t>, PM</w:t>
      </w:r>
      <w:r w:rsidRPr="009D50B1">
        <w:rPr>
          <w:vertAlign w:val="subscript"/>
        </w:rPr>
        <w:t>2.5</w:t>
      </w:r>
      <w:bookmarkEnd w:id="13"/>
      <w:r w:rsidRPr="009D50B1">
        <w:t xml:space="preserve"> </w:t>
      </w:r>
    </w:p>
    <w:p w14:paraId="642F8A36" w14:textId="77777777" w:rsidR="000A77E1" w:rsidRPr="00847624" w:rsidRDefault="000A77E1" w:rsidP="000A77E1">
      <w:pPr>
        <w:rPr>
          <w:rStyle w:val="DefaultChar"/>
        </w:rPr>
      </w:pPr>
      <w:r w:rsidRPr="009D50B1">
        <w:rPr>
          <w:sz w:val="24"/>
          <w:szCs w:val="24"/>
        </w:rPr>
        <w:t xml:space="preserve">Fugitive dust refers to </w:t>
      </w:r>
      <w:r w:rsidR="00675C96" w:rsidRPr="00675C96">
        <w:rPr>
          <w:sz w:val="24"/>
          <w:szCs w:val="24"/>
        </w:rPr>
        <w:t>wind</w:t>
      </w:r>
      <w:r w:rsidR="00675C96">
        <w:rPr>
          <w:sz w:val="24"/>
          <w:szCs w:val="24"/>
        </w:rPr>
        <w:t>-</w:t>
      </w:r>
      <w:r w:rsidR="00675C96" w:rsidRPr="00675C96">
        <w:rPr>
          <w:sz w:val="24"/>
          <w:szCs w:val="24"/>
        </w:rPr>
        <w:t>blown</w:t>
      </w:r>
      <w:r w:rsidRPr="009D50B1">
        <w:rPr>
          <w:sz w:val="24"/>
          <w:szCs w:val="24"/>
        </w:rPr>
        <w:t xml:space="preserve"> dust from plowed fields, dirt roads, or sandy areas with little vegetation.  Fugitive emissions refers to emissions from an industrial process not captured and vented through a stack, but are released due to activities at the facility.  Because of the difficulties encountered characterizing and modeling fugitive dust and fugitive emissions, a proposed procedure shall be determined in consultation with the Department before the modeling exercise is begun</w:t>
      </w:r>
      <w:r w:rsidR="003C3872" w:rsidRPr="009D50B1">
        <w:rPr>
          <w:sz w:val="24"/>
          <w:szCs w:val="24"/>
        </w:rPr>
        <w:t xml:space="preserve">.  </w:t>
      </w:r>
      <w:r w:rsidRPr="009D50B1">
        <w:rPr>
          <w:sz w:val="24"/>
          <w:szCs w:val="24"/>
        </w:rPr>
        <w:t xml:space="preserve">Fugitive emissions from haul roads are not required in any minor source modeling demonstration, but are required for all major source modeling as per Appendix W Section 5.2.2.2 (e) </w:t>
      </w:r>
      <w:r w:rsidRPr="00847624">
        <w:rPr>
          <w:rStyle w:val="DefaultChar"/>
        </w:rPr>
        <w:t>and 5.2.5</w:t>
      </w:r>
      <w:r w:rsidRPr="009D50B1">
        <w:rPr>
          <w:sz w:val="24"/>
          <w:szCs w:val="24"/>
        </w:rPr>
        <w:t>.  Haul road emissions should be characterized as volume sources, although line or area sources can be used at the facility’s discretion</w:t>
      </w:r>
      <w:r w:rsidR="003C3872" w:rsidRPr="009D50B1">
        <w:rPr>
          <w:sz w:val="24"/>
          <w:szCs w:val="24"/>
        </w:rPr>
        <w:t xml:space="preserve">.  </w:t>
      </w:r>
      <w:r w:rsidR="00E97959" w:rsidRPr="009D50B1">
        <w:rPr>
          <w:sz w:val="24"/>
          <w:szCs w:val="24"/>
        </w:rPr>
        <w:t>Appendix C - Modeling haul roads</w:t>
      </w:r>
      <w:r w:rsidR="00D36615" w:rsidRPr="009D50B1">
        <w:rPr>
          <w:sz w:val="24"/>
          <w:szCs w:val="24"/>
        </w:rPr>
        <w:t xml:space="preserve">, provides </w:t>
      </w:r>
      <w:r w:rsidR="00E97959" w:rsidRPr="009D50B1">
        <w:rPr>
          <w:sz w:val="24"/>
          <w:szCs w:val="24"/>
        </w:rPr>
        <w:t>detailed guidance</w:t>
      </w:r>
      <w:r w:rsidR="00D36615" w:rsidRPr="009D50B1">
        <w:rPr>
          <w:sz w:val="24"/>
          <w:szCs w:val="24"/>
        </w:rPr>
        <w:t xml:space="preserve"> for estimating modeling parameters</w:t>
      </w:r>
      <w:r w:rsidR="00E97959" w:rsidRPr="009D50B1">
        <w:rPr>
          <w:sz w:val="24"/>
          <w:szCs w:val="24"/>
        </w:rPr>
        <w:t xml:space="preserve">.  </w:t>
      </w:r>
      <w:r w:rsidRPr="00847624">
        <w:rPr>
          <w:rStyle w:val="DefaultChar"/>
        </w:rPr>
        <w:t xml:space="preserve">Other sources of fugitives from processes that are not captured and vented through a stack such as transfer points, crushing operations, etc., shall be </w:t>
      </w:r>
      <w:r w:rsidR="003C3872" w:rsidRPr="00847624">
        <w:rPr>
          <w:rStyle w:val="DefaultChar"/>
        </w:rPr>
        <w:t>quantified</w:t>
      </w:r>
      <w:r w:rsidRPr="00847624">
        <w:rPr>
          <w:rStyle w:val="DefaultChar"/>
        </w:rPr>
        <w:t xml:space="preserve"> and modeled.</w:t>
      </w:r>
    </w:p>
    <w:p w14:paraId="0ED628E4" w14:textId="77777777" w:rsidR="00372C8E" w:rsidRDefault="00372C8E" w:rsidP="00372C8E">
      <w:pPr>
        <w:pStyle w:val="Heading1"/>
        <w:spacing w:before="0"/>
      </w:pPr>
    </w:p>
    <w:p w14:paraId="48EB7331" w14:textId="77777777" w:rsidR="00FB19E7" w:rsidRPr="00372C8E" w:rsidRDefault="00FE6B2B" w:rsidP="00372C8E">
      <w:pPr>
        <w:pStyle w:val="Heading1"/>
        <w:spacing w:before="0"/>
      </w:pPr>
      <w:bookmarkStart w:id="14" w:name="_Toc489256247"/>
      <w:r w:rsidRPr="009D50B1">
        <w:t>I</w:t>
      </w:r>
      <w:r w:rsidRPr="00372C8E">
        <w:t>ntermittent Emissions</w:t>
      </w:r>
      <w:r w:rsidR="000D0F7B" w:rsidRPr="00372C8E">
        <w:t xml:space="preserve">: Emergency Engines </w:t>
      </w:r>
      <w:r w:rsidRPr="00372C8E">
        <w:t>and 1-Hour NO2</w:t>
      </w:r>
      <w:bookmarkEnd w:id="14"/>
    </w:p>
    <w:p w14:paraId="0BAEF9C4" w14:textId="77777777" w:rsidR="00BB4AA4" w:rsidRPr="009D50B1" w:rsidRDefault="00DE1918" w:rsidP="00BB4AA4">
      <w:pPr>
        <w:pStyle w:val="Default"/>
        <w:rPr>
          <w:color w:val="auto"/>
        </w:rPr>
      </w:pPr>
      <w:r>
        <w:rPr>
          <w:color w:val="auto"/>
        </w:rPr>
        <w:t>For i</w:t>
      </w:r>
      <w:r w:rsidR="0022534F" w:rsidRPr="009D50B1">
        <w:rPr>
          <w:color w:val="auto"/>
        </w:rPr>
        <w:t xml:space="preserve">ntermittent sources, such as emergency generators and fire pumps </w:t>
      </w:r>
      <w:r w:rsidR="009125B8" w:rsidRPr="009D50B1">
        <w:t xml:space="preserve">restricted to 500 hours/year </w:t>
      </w:r>
      <w:r w:rsidR="0022534F" w:rsidRPr="009D50B1">
        <w:t xml:space="preserve">operating time </w:t>
      </w:r>
      <w:r w:rsidR="009125B8" w:rsidRPr="009D50B1">
        <w:t xml:space="preserve">and use exclusively during an emergency, </w:t>
      </w:r>
      <w:r>
        <w:t>the owner or operator is</w:t>
      </w:r>
      <w:r w:rsidR="009125B8" w:rsidRPr="009D50B1">
        <w:rPr>
          <w:color w:val="auto"/>
        </w:rPr>
        <w:t xml:space="preserve"> not required to model </w:t>
      </w:r>
      <w:r w:rsidR="00CF0C50" w:rsidRPr="009D50B1">
        <w:rPr>
          <w:color w:val="auto"/>
        </w:rPr>
        <w:t>1-hour NO</w:t>
      </w:r>
      <w:r w:rsidR="00CF0C50" w:rsidRPr="009D50B1">
        <w:rPr>
          <w:color w:val="auto"/>
          <w:vertAlign w:val="subscript"/>
        </w:rPr>
        <w:t>2</w:t>
      </w:r>
      <w:r w:rsidR="00CF0C50" w:rsidRPr="009D50B1">
        <w:rPr>
          <w:color w:val="auto"/>
        </w:rPr>
        <w:t xml:space="preserve">.  </w:t>
      </w:r>
      <w:r>
        <w:rPr>
          <w:color w:val="auto"/>
        </w:rPr>
        <w:t>However, a</w:t>
      </w:r>
      <w:r w:rsidR="00BB4AA4" w:rsidRPr="009D50B1">
        <w:rPr>
          <w:color w:val="auto"/>
        </w:rPr>
        <w:t>nnual NO</w:t>
      </w:r>
      <w:r w:rsidR="00BB4AA4" w:rsidRPr="009D50B1">
        <w:rPr>
          <w:color w:val="auto"/>
          <w:vertAlign w:val="subscript"/>
        </w:rPr>
        <w:t>2</w:t>
      </w:r>
      <w:r w:rsidR="00BB4AA4" w:rsidRPr="009D50B1">
        <w:rPr>
          <w:color w:val="auto"/>
        </w:rPr>
        <w:t xml:space="preserve"> modeling </w:t>
      </w:r>
      <w:r w:rsidR="0022534F" w:rsidRPr="009D50B1">
        <w:rPr>
          <w:color w:val="auto"/>
        </w:rPr>
        <w:t xml:space="preserve">is required using federally </w:t>
      </w:r>
      <w:r>
        <w:rPr>
          <w:color w:val="auto"/>
        </w:rPr>
        <w:t xml:space="preserve">an </w:t>
      </w:r>
      <w:r w:rsidR="0022534F" w:rsidRPr="009D50B1">
        <w:rPr>
          <w:color w:val="auto"/>
        </w:rPr>
        <w:t xml:space="preserve">enforceable PTE </w:t>
      </w:r>
      <w:r w:rsidR="00BB4AA4" w:rsidRPr="009D50B1">
        <w:rPr>
          <w:color w:val="auto"/>
        </w:rPr>
        <w:t>emission</w:t>
      </w:r>
      <w:r w:rsidR="0022534F" w:rsidRPr="009D50B1">
        <w:rPr>
          <w:color w:val="auto"/>
        </w:rPr>
        <w:t xml:space="preserve"> rate</w:t>
      </w:r>
      <w:r w:rsidR="00BB4AA4" w:rsidRPr="009D50B1">
        <w:rPr>
          <w:color w:val="auto"/>
        </w:rPr>
        <w:t xml:space="preserve"> based on 500 hours/year, evenly spread </w:t>
      </w:r>
      <w:r w:rsidR="0022534F" w:rsidRPr="009D50B1">
        <w:rPr>
          <w:color w:val="auto"/>
        </w:rPr>
        <w:t xml:space="preserve">across </w:t>
      </w:r>
      <w:r w:rsidR="00BB4AA4" w:rsidRPr="009D50B1">
        <w:rPr>
          <w:color w:val="auto"/>
        </w:rPr>
        <w:t>8760 hours/year.</w:t>
      </w:r>
    </w:p>
    <w:p w14:paraId="52B09B4F" w14:textId="77777777" w:rsidR="00B870C9" w:rsidRDefault="00B870C9" w:rsidP="00B870C9">
      <w:pPr>
        <w:pStyle w:val="Heading1"/>
        <w:spacing w:before="0"/>
      </w:pPr>
    </w:p>
    <w:p w14:paraId="5C430DFF" w14:textId="77777777" w:rsidR="00E845D6" w:rsidRPr="009D50B1" w:rsidRDefault="00E845D6" w:rsidP="00B870C9">
      <w:pPr>
        <w:pStyle w:val="Heading1"/>
        <w:spacing w:before="0"/>
      </w:pPr>
      <w:bookmarkStart w:id="15" w:name="_Toc489256248"/>
      <w:r w:rsidRPr="009D50B1">
        <w:t>Additional Impact Analyses for Major Source PSD</w:t>
      </w:r>
      <w:bookmarkEnd w:id="15"/>
      <w:r w:rsidRPr="009D50B1">
        <w:t xml:space="preserve"> </w:t>
      </w:r>
    </w:p>
    <w:p w14:paraId="137CE9D9" w14:textId="77777777" w:rsidR="00E845D6" w:rsidRPr="009D50B1" w:rsidRDefault="00E845D6" w:rsidP="00E845D6">
      <w:pPr>
        <w:rPr>
          <w:sz w:val="24"/>
          <w:szCs w:val="24"/>
        </w:rPr>
      </w:pPr>
      <w:r w:rsidRPr="009D50B1">
        <w:rPr>
          <w:sz w:val="24"/>
          <w:szCs w:val="24"/>
        </w:rPr>
        <w:t xml:space="preserve">Major source PSD modeling </w:t>
      </w:r>
      <w:r w:rsidR="0039036E" w:rsidRPr="009D50B1">
        <w:rPr>
          <w:sz w:val="24"/>
          <w:szCs w:val="24"/>
        </w:rPr>
        <w:t>demonstrations</w:t>
      </w:r>
      <w:r w:rsidRPr="009D50B1">
        <w:rPr>
          <w:sz w:val="24"/>
          <w:szCs w:val="24"/>
        </w:rPr>
        <w:t xml:space="preserve"> shall provide an additional analysis of the air quality impact for each pollutant subject to PSD to evaluate impacts on regional haze, </w:t>
      </w:r>
      <w:r w:rsidR="0039036E" w:rsidRPr="009D50B1">
        <w:rPr>
          <w:sz w:val="24"/>
          <w:szCs w:val="24"/>
        </w:rPr>
        <w:t>population</w:t>
      </w:r>
      <w:r w:rsidRPr="009D50B1">
        <w:rPr>
          <w:sz w:val="24"/>
          <w:szCs w:val="24"/>
        </w:rPr>
        <w:t xml:space="preserve"> growth, and impacts on soils and vegetation in the area of the facility, Title 129, Ch. 19, </w:t>
      </w:r>
      <w:r w:rsidRPr="009D50B1">
        <w:rPr>
          <w:sz w:val="24"/>
          <w:szCs w:val="24"/>
          <w:u w:val="single"/>
        </w:rPr>
        <w:t>022</w:t>
      </w:r>
      <w:r w:rsidRPr="009D50B1">
        <w:rPr>
          <w:sz w:val="24"/>
          <w:szCs w:val="24"/>
        </w:rPr>
        <w:t xml:space="preserve">, 40 CFR 51.166.  The complexity of this analysis will generally depend on existing air quality, the </w:t>
      </w:r>
      <w:r w:rsidRPr="009D50B1">
        <w:rPr>
          <w:sz w:val="24"/>
          <w:szCs w:val="24"/>
        </w:rPr>
        <w:lastRenderedPageBreak/>
        <w:t>quantity of emissions, the chance the project would result in significant population increase, the sensitivity of local soils &amp; vegetation having significant commercial or recreational value, and visibility in the source impact area.  Data from the additional impacts analysis should be presented so that it is logical and understandable to the interested public.</w:t>
      </w:r>
    </w:p>
    <w:p w14:paraId="3A23E720" w14:textId="77777777" w:rsidR="00B870C9" w:rsidRDefault="00B870C9" w:rsidP="00B870C9">
      <w:pPr>
        <w:pStyle w:val="Heading1"/>
        <w:spacing w:before="0"/>
      </w:pPr>
    </w:p>
    <w:p w14:paraId="0E66806F" w14:textId="77777777" w:rsidR="00E845D6" w:rsidRPr="0001206E" w:rsidRDefault="00E845D6" w:rsidP="00B870C9">
      <w:pPr>
        <w:pStyle w:val="Heading1"/>
        <w:spacing w:before="0"/>
      </w:pPr>
      <w:bookmarkStart w:id="16" w:name="_Toc489256249"/>
      <w:r w:rsidRPr="009D50B1">
        <w:t>Regional Haze Screening of Class I Areas:</w:t>
      </w:r>
      <w:r w:rsidR="002F71B9">
        <w:t xml:space="preserve"> </w:t>
      </w:r>
      <w:r w:rsidRPr="0001206E">
        <w:t xml:space="preserve"> Guidance from Federal Land Managers</w:t>
      </w:r>
      <w:bookmarkEnd w:id="16"/>
    </w:p>
    <w:p w14:paraId="0D59D295" w14:textId="77777777" w:rsidR="00E845D6" w:rsidRPr="0001206E" w:rsidRDefault="002F71B9" w:rsidP="00E845D6">
      <w:pPr>
        <w:rPr>
          <w:sz w:val="24"/>
          <w:szCs w:val="24"/>
        </w:rPr>
      </w:pPr>
      <w:r>
        <w:rPr>
          <w:sz w:val="24"/>
          <w:szCs w:val="24"/>
        </w:rPr>
        <w:t xml:space="preserve">The owner or operator of any proposed </w:t>
      </w:r>
      <w:r w:rsidR="00E845D6" w:rsidRPr="0001206E">
        <w:rPr>
          <w:sz w:val="24"/>
          <w:szCs w:val="24"/>
        </w:rPr>
        <w:t>PSD project within 100 km of a</w:t>
      </w:r>
      <w:r>
        <w:rPr>
          <w:sz w:val="24"/>
          <w:szCs w:val="24"/>
        </w:rPr>
        <w:t>n</w:t>
      </w:r>
      <w:r w:rsidR="00E845D6" w:rsidRPr="0001206E">
        <w:rPr>
          <w:sz w:val="24"/>
          <w:szCs w:val="24"/>
        </w:rPr>
        <w:t xml:space="preserve"> affected Federal Land Managers Class I area </w:t>
      </w:r>
      <w:r>
        <w:rPr>
          <w:sz w:val="24"/>
          <w:szCs w:val="24"/>
        </w:rPr>
        <w:t xml:space="preserve">is required to </w:t>
      </w:r>
      <w:r w:rsidR="00E845D6" w:rsidRPr="0001206E">
        <w:rPr>
          <w:sz w:val="24"/>
          <w:szCs w:val="24"/>
        </w:rPr>
        <w:t xml:space="preserve">assess the impacts of criteria pollutants in conformity with 40 CFR Section 51.307.  While there are no Federal Class I areas in Nebraska, two Federal Class I areas </w:t>
      </w:r>
      <w:r>
        <w:rPr>
          <w:sz w:val="24"/>
          <w:szCs w:val="24"/>
        </w:rPr>
        <w:t xml:space="preserve">are </w:t>
      </w:r>
      <w:r w:rsidR="00E845D6" w:rsidRPr="0001206E">
        <w:rPr>
          <w:sz w:val="24"/>
          <w:szCs w:val="24"/>
        </w:rPr>
        <w:t xml:space="preserve">within 100 km of the border of Nebraska; </w:t>
      </w:r>
      <w:r>
        <w:rPr>
          <w:sz w:val="24"/>
          <w:szCs w:val="24"/>
        </w:rPr>
        <w:t xml:space="preserve"> </w:t>
      </w:r>
      <w:r w:rsidR="00E845D6" w:rsidRPr="0001206E">
        <w:rPr>
          <w:sz w:val="24"/>
          <w:szCs w:val="24"/>
        </w:rPr>
        <w:t xml:space="preserve">Badlands Wilderness and Wind Cave National Park, both in South Dakota.  To determine if the </w:t>
      </w:r>
      <w:r>
        <w:rPr>
          <w:sz w:val="24"/>
          <w:szCs w:val="24"/>
        </w:rPr>
        <w:t xml:space="preserve">owner or operator of the proposed </w:t>
      </w:r>
      <w:r w:rsidR="00E845D6" w:rsidRPr="0001206E">
        <w:rPr>
          <w:sz w:val="24"/>
          <w:szCs w:val="24"/>
        </w:rPr>
        <w:t xml:space="preserve">facility needs to analyze regional haze, the </w:t>
      </w:r>
      <w:r w:rsidR="00E845D6" w:rsidRPr="0001206E">
        <w:rPr>
          <w:i/>
          <w:sz w:val="24"/>
          <w:szCs w:val="24"/>
        </w:rPr>
        <w:t>Federal Land Managers’ Air Quality Related Values Work Group (FLAG), Phase I Report – Revised 2010</w:t>
      </w:r>
      <w:r w:rsidR="00E845D6" w:rsidRPr="0001206E">
        <w:rPr>
          <w:sz w:val="24"/>
          <w:szCs w:val="24"/>
        </w:rPr>
        <w:t xml:space="preserve"> recommends the following screening test:</w:t>
      </w:r>
    </w:p>
    <w:p w14:paraId="49F050B5" w14:textId="77777777" w:rsidR="00E845D6" w:rsidRPr="0001206E" w:rsidRDefault="00E845D6" w:rsidP="00E845D6">
      <w:pPr>
        <w:rPr>
          <w:sz w:val="24"/>
          <w:szCs w:val="24"/>
        </w:rPr>
      </w:pPr>
    </w:p>
    <w:p w14:paraId="2354FA89" w14:textId="77777777" w:rsidR="00E845D6" w:rsidRPr="0001206E" w:rsidRDefault="00E845D6" w:rsidP="00E845D6">
      <w:pPr>
        <w:ind w:firstLine="720"/>
        <w:rPr>
          <w:sz w:val="24"/>
          <w:szCs w:val="24"/>
        </w:rPr>
      </w:pPr>
      <w:r w:rsidRPr="0001206E">
        <w:rPr>
          <w:sz w:val="24"/>
          <w:szCs w:val="24"/>
        </w:rPr>
        <w:t>(Q/D) ≤ 10</w:t>
      </w:r>
    </w:p>
    <w:p w14:paraId="0E1C17E3" w14:textId="77777777" w:rsidR="002F71B9" w:rsidRDefault="00E845D6" w:rsidP="00E845D6">
      <w:pPr>
        <w:ind w:left="720"/>
        <w:rPr>
          <w:sz w:val="24"/>
          <w:szCs w:val="24"/>
        </w:rPr>
      </w:pPr>
      <w:r w:rsidRPr="0001206E">
        <w:rPr>
          <w:sz w:val="24"/>
          <w:szCs w:val="24"/>
        </w:rPr>
        <w:t>Where</w:t>
      </w:r>
    </w:p>
    <w:p w14:paraId="66CD2931" w14:textId="77777777" w:rsidR="00E845D6" w:rsidRPr="0001206E" w:rsidRDefault="002F71B9" w:rsidP="00E845D6">
      <w:pPr>
        <w:ind w:left="720"/>
        <w:rPr>
          <w:sz w:val="24"/>
          <w:szCs w:val="24"/>
        </w:rPr>
      </w:pPr>
      <w:r>
        <w:rPr>
          <w:sz w:val="24"/>
          <w:szCs w:val="24"/>
        </w:rPr>
        <w:tab/>
      </w:r>
      <w:r w:rsidR="00E845D6" w:rsidRPr="0001206E">
        <w:rPr>
          <w:sz w:val="24"/>
          <w:szCs w:val="24"/>
        </w:rPr>
        <w:t>Q</w:t>
      </w:r>
      <w:r>
        <w:rPr>
          <w:sz w:val="24"/>
          <w:szCs w:val="24"/>
        </w:rPr>
        <w:t xml:space="preserve"> </w:t>
      </w:r>
      <w:r w:rsidR="00E845D6" w:rsidRPr="0001206E">
        <w:rPr>
          <w:sz w:val="24"/>
          <w:szCs w:val="24"/>
        </w:rPr>
        <w:t>(tpy) = sum of emission increase in SO</w:t>
      </w:r>
      <w:r w:rsidR="00E845D6" w:rsidRPr="0001206E">
        <w:rPr>
          <w:sz w:val="24"/>
          <w:szCs w:val="24"/>
          <w:vertAlign w:val="subscript"/>
        </w:rPr>
        <w:t>2</w:t>
      </w:r>
      <w:r w:rsidR="00E845D6" w:rsidRPr="0001206E">
        <w:rPr>
          <w:sz w:val="24"/>
          <w:szCs w:val="24"/>
        </w:rPr>
        <w:t>, NO</w:t>
      </w:r>
      <w:r w:rsidR="00E845D6" w:rsidRPr="0001206E">
        <w:rPr>
          <w:sz w:val="24"/>
          <w:szCs w:val="24"/>
          <w:vertAlign w:val="subscript"/>
        </w:rPr>
        <w:t>2</w:t>
      </w:r>
      <w:r w:rsidR="00E845D6" w:rsidRPr="0001206E">
        <w:rPr>
          <w:sz w:val="24"/>
          <w:szCs w:val="24"/>
        </w:rPr>
        <w:t>, PM</w:t>
      </w:r>
      <w:r w:rsidR="00E845D6" w:rsidRPr="0001206E">
        <w:rPr>
          <w:sz w:val="24"/>
          <w:szCs w:val="24"/>
          <w:vertAlign w:val="subscript"/>
        </w:rPr>
        <w:t>10</w:t>
      </w:r>
      <w:r w:rsidR="00E845D6" w:rsidRPr="0001206E">
        <w:rPr>
          <w:sz w:val="24"/>
          <w:szCs w:val="24"/>
        </w:rPr>
        <w:t>, and sulfuric mist (H</w:t>
      </w:r>
      <w:r w:rsidR="00E845D6" w:rsidRPr="0001206E">
        <w:rPr>
          <w:sz w:val="24"/>
          <w:szCs w:val="24"/>
          <w:vertAlign w:val="subscript"/>
        </w:rPr>
        <w:t>2</w:t>
      </w:r>
      <w:r w:rsidR="00E845D6" w:rsidRPr="0001206E">
        <w:rPr>
          <w:sz w:val="24"/>
          <w:szCs w:val="24"/>
        </w:rPr>
        <w:t>SO</w:t>
      </w:r>
      <w:r w:rsidR="00E845D6" w:rsidRPr="0001206E">
        <w:rPr>
          <w:sz w:val="24"/>
          <w:szCs w:val="24"/>
          <w:vertAlign w:val="subscript"/>
        </w:rPr>
        <w:t>4</w:t>
      </w:r>
      <w:r w:rsidR="00E845D6" w:rsidRPr="0001206E">
        <w:rPr>
          <w:sz w:val="24"/>
          <w:szCs w:val="24"/>
        </w:rPr>
        <w:t>)</w:t>
      </w:r>
    </w:p>
    <w:p w14:paraId="67B232D0" w14:textId="77777777" w:rsidR="00E845D6" w:rsidRPr="0001206E" w:rsidRDefault="00E845D6" w:rsidP="00E845D6">
      <w:pPr>
        <w:ind w:left="720"/>
        <w:rPr>
          <w:sz w:val="24"/>
          <w:szCs w:val="24"/>
        </w:rPr>
      </w:pPr>
      <w:r w:rsidRPr="0001206E">
        <w:rPr>
          <w:sz w:val="24"/>
          <w:szCs w:val="24"/>
        </w:rPr>
        <w:tab/>
        <w:t>D</w:t>
      </w:r>
      <w:r w:rsidR="002F71B9">
        <w:rPr>
          <w:sz w:val="24"/>
          <w:szCs w:val="24"/>
        </w:rPr>
        <w:t xml:space="preserve"> </w:t>
      </w:r>
      <w:r w:rsidRPr="0001206E">
        <w:rPr>
          <w:sz w:val="24"/>
          <w:szCs w:val="24"/>
        </w:rPr>
        <w:t>(km) = distance from Class I area (km)</w:t>
      </w:r>
    </w:p>
    <w:p w14:paraId="3A5432A0" w14:textId="77777777" w:rsidR="00B870C9" w:rsidRDefault="00B870C9" w:rsidP="00B870C9">
      <w:pPr>
        <w:pStyle w:val="Heading1"/>
        <w:spacing w:before="0"/>
      </w:pPr>
    </w:p>
    <w:p w14:paraId="4B26EE87" w14:textId="77777777" w:rsidR="00512CF5" w:rsidRPr="0001206E" w:rsidRDefault="00756EAF" w:rsidP="00B870C9">
      <w:pPr>
        <w:pStyle w:val="Heading1"/>
        <w:spacing w:before="0"/>
      </w:pPr>
      <w:bookmarkStart w:id="17" w:name="_Toc489256250"/>
      <w:r w:rsidRPr="0001206E">
        <w:t xml:space="preserve">Good </w:t>
      </w:r>
      <w:r w:rsidR="002F71B9">
        <w:t>E</w:t>
      </w:r>
      <w:r w:rsidRPr="0001206E">
        <w:t xml:space="preserve">ngineering </w:t>
      </w:r>
      <w:r w:rsidR="002F71B9">
        <w:t>P</w:t>
      </w:r>
      <w:r w:rsidRPr="0001206E">
        <w:t xml:space="preserve">ractice (GEP) </w:t>
      </w:r>
      <w:r w:rsidR="002F71B9">
        <w:t>S</w:t>
      </w:r>
      <w:r w:rsidRPr="0001206E">
        <w:t xml:space="preserve">tack </w:t>
      </w:r>
      <w:r w:rsidR="002F71B9">
        <w:t>H</w:t>
      </w:r>
      <w:r w:rsidRPr="0001206E">
        <w:t xml:space="preserve">eight and </w:t>
      </w:r>
      <w:r w:rsidR="005B649A" w:rsidRPr="0001206E">
        <w:t>Building Downwash</w:t>
      </w:r>
      <w:bookmarkEnd w:id="17"/>
    </w:p>
    <w:p w14:paraId="2F99990B" w14:textId="77777777" w:rsidR="00756EAF" w:rsidRPr="0001206E" w:rsidRDefault="0039036E" w:rsidP="00756EAF">
      <w:pPr>
        <w:rPr>
          <w:sz w:val="24"/>
          <w:szCs w:val="24"/>
        </w:rPr>
      </w:pPr>
      <w:r w:rsidRPr="0001206E">
        <w:rPr>
          <w:sz w:val="24"/>
          <w:szCs w:val="24"/>
        </w:rPr>
        <w:t>Good engineering practice (GEP)</w:t>
      </w:r>
      <w:r w:rsidR="002F71B9">
        <w:rPr>
          <w:sz w:val="24"/>
          <w:szCs w:val="24"/>
        </w:rPr>
        <w:t xml:space="preserve"> is</w:t>
      </w:r>
      <w:r w:rsidRPr="0001206E">
        <w:rPr>
          <w:sz w:val="24"/>
          <w:szCs w:val="24"/>
        </w:rPr>
        <w:t xml:space="preserve"> defined in 40 CFR 51.100</w:t>
      </w:r>
      <w:r w:rsidR="002F71B9">
        <w:rPr>
          <w:sz w:val="24"/>
          <w:szCs w:val="24"/>
        </w:rPr>
        <w:t xml:space="preserve"> as</w:t>
      </w:r>
      <w:r w:rsidRPr="0001206E">
        <w:rPr>
          <w:sz w:val="24"/>
          <w:szCs w:val="24"/>
        </w:rPr>
        <w:t xml:space="preserve"> a stack height that is the greater of:</w:t>
      </w:r>
    </w:p>
    <w:p w14:paraId="32911955" w14:textId="77777777" w:rsidR="00F8562F" w:rsidRPr="0001206E" w:rsidRDefault="00F8562F" w:rsidP="00756EAF">
      <w:pPr>
        <w:rPr>
          <w:sz w:val="24"/>
          <w:szCs w:val="24"/>
        </w:rPr>
      </w:pPr>
    </w:p>
    <w:p w14:paraId="03859FA9" w14:textId="77777777" w:rsidR="0079252A" w:rsidRPr="0001206E" w:rsidRDefault="00756EAF" w:rsidP="0079252A">
      <w:pPr>
        <w:ind w:left="720"/>
        <w:rPr>
          <w:sz w:val="24"/>
          <w:szCs w:val="24"/>
        </w:rPr>
      </w:pPr>
      <w:r w:rsidRPr="0001206E">
        <w:rPr>
          <w:sz w:val="24"/>
          <w:szCs w:val="24"/>
        </w:rPr>
        <w:t>(1) 65 meters, measured from the ground-level elevation at the base of the stack</w:t>
      </w:r>
      <w:r w:rsidR="006D3C17">
        <w:rPr>
          <w:sz w:val="24"/>
          <w:szCs w:val="24"/>
        </w:rPr>
        <w:t>;</w:t>
      </w:r>
    </w:p>
    <w:p w14:paraId="384AB856" w14:textId="77777777" w:rsidR="0079252A" w:rsidRPr="0001206E" w:rsidRDefault="0079252A" w:rsidP="0001206E">
      <w:pPr>
        <w:rPr>
          <w:sz w:val="24"/>
          <w:szCs w:val="24"/>
        </w:rPr>
      </w:pPr>
    </w:p>
    <w:p w14:paraId="258E9FF3" w14:textId="77777777" w:rsidR="000E7823" w:rsidRPr="0001206E" w:rsidRDefault="00756EAF" w:rsidP="0079252A">
      <w:pPr>
        <w:ind w:left="720"/>
        <w:rPr>
          <w:sz w:val="24"/>
          <w:szCs w:val="24"/>
        </w:rPr>
      </w:pPr>
      <w:r w:rsidRPr="0001206E">
        <w:rPr>
          <w:sz w:val="24"/>
          <w:szCs w:val="24"/>
        </w:rPr>
        <w:t>(2)</w:t>
      </w:r>
    </w:p>
    <w:p w14:paraId="6B9AE58C" w14:textId="77777777" w:rsidR="0079252A" w:rsidRPr="0001206E" w:rsidRDefault="00756EAF" w:rsidP="0001206E">
      <w:pPr>
        <w:ind w:left="1080"/>
        <w:rPr>
          <w:sz w:val="24"/>
          <w:szCs w:val="24"/>
        </w:rPr>
      </w:pPr>
      <w:r w:rsidRPr="0001206E">
        <w:rPr>
          <w:sz w:val="24"/>
          <w:szCs w:val="24"/>
        </w:rPr>
        <w:t>(</w:t>
      </w:r>
      <w:proofErr w:type="spellStart"/>
      <w:r w:rsidRPr="0001206E">
        <w:rPr>
          <w:sz w:val="24"/>
          <w:szCs w:val="24"/>
        </w:rPr>
        <w:t>i</w:t>
      </w:r>
      <w:proofErr w:type="spellEnd"/>
      <w:r w:rsidRPr="0001206E">
        <w:rPr>
          <w:sz w:val="24"/>
          <w:szCs w:val="24"/>
        </w:rPr>
        <w:t xml:space="preserve">) For stacks in existence on January 12, 1979, and for which the owner or operator had </w:t>
      </w:r>
      <w:r w:rsidR="006D3C17">
        <w:rPr>
          <w:sz w:val="24"/>
          <w:szCs w:val="24"/>
        </w:rPr>
        <w:t xml:space="preserve">obtained all applicable permits or approvals required under </w:t>
      </w:r>
      <w:r w:rsidRPr="0001206E">
        <w:rPr>
          <w:sz w:val="24"/>
          <w:szCs w:val="24"/>
        </w:rPr>
        <w:t>40 CFR parts 51 and 52</w:t>
      </w:r>
      <w:r w:rsidR="006D3C17">
        <w:rPr>
          <w:sz w:val="24"/>
          <w:szCs w:val="24"/>
        </w:rPr>
        <w:t>:</w:t>
      </w:r>
    </w:p>
    <w:p w14:paraId="30651582" w14:textId="77777777" w:rsidR="00756EAF" w:rsidRPr="0001206E" w:rsidRDefault="00756EAF" w:rsidP="000E7823">
      <w:pPr>
        <w:ind w:left="1440"/>
        <w:rPr>
          <w:sz w:val="24"/>
          <w:szCs w:val="24"/>
        </w:rPr>
      </w:pPr>
      <w:r w:rsidRPr="0001206E">
        <w:rPr>
          <w:sz w:val="24"/>
          <w:szCs w:val="24"/>
        </w:rPr>
        <w:t xml:space="preserve">Hg = </w:t>
      </w:r>
      <w:r w:rsidR="006D3C17">
        <w:rPr>
          <w:sz w:val="24"/>
          <w:szCs w:val="24"/>
        </w:rPr>
        <w:t xml:space="preserve">2.5H, </w:t>
      </w:r>
      <w:r w:rsidRPr="0001206E">
        <w:rPr>
          <w:sz w:val="24"/>
          <w:szCs w:val="24"/>
        </w:rPr>
        <w:t xml:space="preserve">provided the owner or operator produces evidence that this equation was </w:t>
      </w:r>
      <w:proofErr w:type="gramStart"/>
      <w:r w:rsidRPr="0001206E">
        <w:rPr>
          <w:sz w:val="24"/>
          <w:szCs w:val="24"/>
        </w:rPr>
        <w:t>actually relied</w:t>
      </w:r>
      <w:proofErr w:type="gramEnd"/>
      <w:r w:rsidRPr="0001206E">
        <w:rPr>
          <w:sz w:val="24"/>
          <w:szCs w:val="24"/>
        </w:rPr>
        <w:t xml:space="preserve"> on in establishing an emission limitation:</w:t>
      </w:r>
    </w:p>
    <w:p w14:paraId="30F6FA90" w14:textId="77777777" w:rsidR="000E7823" w:rsidRPr="0001206E" w:rsidRDefault="000E7823" w:rsidP="0001206E">
      <w:pPr>
        <w:rPr>
          <w:sz w:val="24"/>
          <w:szCs w:val="24"/>
        </w:rPr>
      </w:pPr>
    </w:p>
    <w:p w14:paraId="0DF73417" w14:textId="77777777" w:rsidR="0079252A" w:rsidRPr="0001206E" w:rsidRDefault="00756EAF" w:rsidP="0001206E">
      <w:pPr>
        <w:ind w:left="1080"/>
        <w:rPr>
          <w:sz w:val="24"/>
          <w:szCs w:val="24"/>
        </w:rPr>
      </w:pPr>
      <w:r w:rsidRPr="0001206E">
        <w:rPr>
          <w:sz w:val="24"/>
          <w:szCs w:val="24"/>
        </w:rPr>
        <w:t>(ii) For all other stacks</w:t>
      </w:r>
      <w:r w:rsidR="006D3C17">
        <w:rPr>
          <w:sz w:val="24"/>
          <w:szCs w:val="24"/>
        </w:rPr>
        <w:t>:</w:t>
      </w:r>
    </w:p>
    <w:p w14:paraId="5F961EA9" w14:textId="77777777" w:rsidR="0079252A" w:rsidRPr="0001206E" w:rsidRDefault="00756EAF" w:rsidP="0079252A">
      <w:pPr>
        <w:ind w:left="1440"/>
        <w:rPr>
          <w:sz w:val="24"/>
          <w:szCs w:val="24"/>
        </w:rPr>
      </w:pPr>
      <w:r w:rsidRPr="0001206E">
        <w:rPr>
          <w:sz w:val="24"/>
          <w:szCs w:val="24"/>
        </w:rPr>
        <w:t>Hg = H 1.5L</w:t>
      </w:r>
    </w:p>
    <w:p w14:paraId="1D231E1A" w14:textId="77777777" w:rsidR="0079252A" w:rsidRPr="0001206E" w:rsidRDefault="00756EAF" w:rsidP="0079252A">
      <w:pPr>
        <w:ind w:left="1440"/>
        <w:rPr>
          <w:sz w:val="24"/>
          <w:szCs w:val="24"/>
        </w:rPr>
      </w:pPr>
      <w:r w:rsidRPr="0001206E">
        <w:rPr>
          <w:sz w:val="24"/>
          <w:szCs w:val="24"/>
        </w:rPr>
        <w:t>where:</w:t>
      </w:r>
    </w:p>
    <w:p w14:paraId="674683B7" w14:textId="77777777" w:rsidR="0079252A" w:rsidRPr="0001206E" w:rsidRDefault="00756EAF" w:rsidP="0001206E">
      <w:pPr>
        <w:ind w:left="1440"/>
        <w:rPr>
          <w:sz w:val="24"/>
          <w:szCs w:val="24"/>
        </w:rPr>
      </w:pPr>
      <w:r w:rsidRPr="0001206E">
        <w:rPr>
          <w:sz w:val="24"/>
          <w:szCs w:val="24"/>
        </w:rPr>
        <w:t>Hg = good engineering practice stack height, measured from the ground-level elevation at the base of the stack,</w:t>
      </w:r>
    </w:p>
    <w:p w14:paraId="1737ED22" w14:textId="77777777" w:rsidR="00756EAF" w:rsidRPr="0001206E" w:rsidRDefault="00756EAF" w:rsidP="0001206E">
      <w:pPr>
        <w:ind w:left="1440"/>
        <w:rPr>
          <w:sz w:val="24"/>
          <w:szCs w:val="24"/>
        </w:rPr>
      </w:pPr>
      <w:r w:rsidRPr="0001206E">
        <w:rPr>
          <w:sz w:val="24"/>
          <w:szCs w:val="24"/>
        </w:rPr>
        <w:t>H =</w:t>
      </w:r>
      <w:r w:rsidR="0079252A" w:rsidRPr="0001206E">
        <w:rPr>
          <w:sz w:val="24"/>
          <w:szCs w:val="24"/>
        </w:rPr>
        <w:t xml:space="preserve"> </w:t>
      </w:r>
      <w:r w:rsidRPr="0001206E">
        <w:rPr>
          <w:sz w:val="24"/>
          <w:szCs w:val="24"/>
        </w:rPr>
        <w:t xml:space="preserve">height of nearby structure(s) measured from the ground-level </w:t>
      </w:r>
      <w:r w:rsidR="0079252A" w:rsidRPr="0001206E">
        <w:rPr>
          <w:sz w:val="24"/>
          <w:szCs w:val="24"/>
        </w:rPr>
        <w:t>elevation</w:t>
      </w:r>
      <w:r w:rsidRPr="0001206E">
        <w:rPr>
          <w:sz w:val="24"/>
          <w:szCs w:val="24"/>
        </w:rPr>
        <w:t xml:space="preserve"> the base of the stack.</w:t>
      </w:r>
    </w:p>
    <w:p w14:paraId="5790E92C" w14:textId="77777777" w:rsidR="00756EAF" w:rsidRPr="0001206E" w:rsidRDefault="00756EAF" w:rsidP="0001206E">
      <w:pPr>
        <w:ind w:left="1440"/>
        <w:rPr>
          <w:sz w:val="24"/>
          <w:szCs w:val="24"/>
        </w:rPr>
      </w:pPr>
      <w:r w:rsidRPr="0001206E">
        <w:rPr>
          <w:sz w:val="24"/>
          <w:szCs w:val="24"/>
        </w:rPr>
        <w:t>L = lesser dimension, height or projected width, of nearby structure(s)</w:t>
      </w:r>
      <w:r w:rsidR="0079252A" w:rsidRPr="0001206E">
        <w:rPr>
          <w:sz w:val="24"/>
          <w:szCs w:val="24"/>
        </w:rPr>
        <w:t xml:space="preserve"> </w:t>
      </w:r>
      <w:r w:rsidRPr="0001206E">
        <w:rPr>
          <w:sz w:val="24"/>
          <w:szCs w:val="24"/>
        </w:rPr>
        <w:t>provided that the EPA, State or local control agency may require the use of a field study or fluid model to verify GEP stack height for the source; or</w:t>
      </w:r>
    </w:p>
    <w:p w14:paraId="6D4E232F" w14:textId="77777777" w:rsidR="0079252A" w:rsidRPr="0001206E" w:rsidRDefault="0079252A" w:rsidP="0001206E">
      <w:pPr>
        <w:rPr>
          <w:sz w:val="24"/>
          <w:szCs w:val="24"/>
        </w:rPr>
      </w:pPr>
    </w:p>
    <w:p w14:paraId="69A8B8FC" w14:textId="77777777" w:rsidR="00756EAF" w:rsidRPr="0001206E" w:rsidRDefault="00756EAF" w:rsidP="0079252A">
      <w:pPr>
        <w:ind w:left="720"/>
        <w:rPr>
          <w:sz w:val="24"/>
          <w:szCs w:val="24"/>
        </w:rPr>
      </w:pPr>
      <w:r w:rsidRPr="0001206E">
        <w:rPr>
          <w:sz w:val="24"/>
          <w:szCs w:val="24"/>
        </w:rPr>
        <w:t>(3) The height demonstrated by a fluid model or a field study approved by the EPA</w:t>
      </w:r>
      <w:r w:rsidR="00205144">
        <w:rPr>
          <w:sz w:val="24"/>
          <w:szCs w:val="24"/>
        </w:rPr>
        <w:t>,</w:t>
      </w:r>
      <w:r w:rsidRPr="0001206E">
        <w:rPr>
          <w:sz w:val="24"/>
          <w:szCs w:val="24"/>
        </w:rPr>
        <w:t xml:space="preserve"> State</w:t>
      </w:r>
      <w:r w:rsidR="00205144">
        <w:rPr>
          <w:sz w:val="24"/>
          <w:szCs w:val="24"/>
        </w:rPr>
        <w:t xml:space="preserve">, </w:t>
      </w:r>
      <w:r w:rsidRPr="0001206E">
        <w:rPr>
          <w:sz w:val="24"/>
          <w:szCs w:val="24"/>
        </w:rPr>
        <w:t xml:space="preserve">or local control agency, which ensures that the emissions from a stack do not result in excessive concentrations of any air pollutant as a result of atmospheric downwash, </w:t>
      </w:r>
      <w:r w:rsidRPr="0001206E">
        <w:rPr>
          <w:sz w:val="24"/>
          <w:szCs w:val="24"/>
        </w:rPr>
        <w:lastRenderedPageBreak/>
        <w:t>wakes, or eddy effects created by the source itself, nearby structures or nearby terrain features.</w:t>
      </w:r>
    </w:p>
    <w:p w14:paraId="08CD7F94" w14:textId="77777777" w:rsidR="00756EAF" w:rsidRPr="0001206E" w:rsidRDefault="00756EAF" w:rsidP="00756EAF">
      <w:pPr>
        <w:rPr>
          <w:sz w:val="24"/>
          <w:szCs w:val="24"/>
        </w:rPr>
      </w:pPr>
    </w:p>
    <w:p w14:paraId="4EA4170C" w14:textId="77777777" w:rsidR="001137D6" w:rsidRPr="0001206E" w:rsidRDefault="001A6E0D">
      <w:pPr>
        <w:rPr>
          <w:sz w:val="24"/>
          <w:szCs w:val="24"/>
        </w:rPr>
      </w:pPr>
      <w:r w:rsidRPr="0001206E">
        <w:rPr>
          <w:sz w:val="24"/>
          <w:szCs w:val="24"/>
        </w:rPr>
        <w:t xml:space="preserve">Plumes emitted from stack </w:t>
      </w:r>
      <w:r w:rsidR="005B07D7" w:rsidRPr="0001206E">
        <w:rPr>
          <w:sz w:val="24"/>
          <w:szCs w:val="24"/>
        </w:rPr>
        <w:t xml:space="preserve">heights less than the </w:t>
      </w:r>
      <w:r w:rsidR="00756EAF" w:rsidRPr="0001206E">
        <w:rPr>
          <w:sz w:val="24"/>
          <w:szCs w:val="24"/>
        </w:rPr>
        <w:t xml:space="preserve">GEP stack height </w:t>
      </w:r>
      <w:r w:rsidR="005B07D7" w:rsidRPr="0001206E">
        <w:rPr>
          <w:sz w:val="24"/>
          <w:szCs w:val="24"/>
        </w:rPr>
        <w:t xml:space="preserve">can experience </w:t>
      </w:r>
      <w:r w:rsidR="00D1448F" w:rsidRPr="0001206E">
        <w:rPr>
          <w:sz w:val="24"/>
          <w:szCs w:val="24"/>
        </w:rPr>
        <w:t>cavity</w:t>
      </w:r>
      <w:r w:rsidR="005B07D7" w:rsidRPr="0001206E">
        <w:rPr>
          <w:sz w:val="24"/>
          <w:szCs w:val="24"/>
        </w:rPr>
        <w:t xml:space="preserve"> or wake effects</w:t>
      </w:r>
      <w:r w:rsidR="000C4025">
        <w:rPr>
          <w:sz w:val="24"/>
          <w:szCs w:val="24"/>
        </w:rPr>
        <w:t xml:space="preserve"> (also called building downwash)</w:t>
      </w:r>
      <w:r w:rsidR="005B07D7" w:rsidRPr="0001206E">
        <w:rPr>
          <w:sz w:val="24"/>
          <w:szCs w:val="24"/>
        </w:rPr>
        <w:t xml:space="preserve"> due to nearby building structures.  </w:t>
      </w:r>
      <w:r w:rsidR="00D1448F" w:rsidRPr="0001206E">
        <w:rPr>
          <w:sz w:val="24"/>
          <w:szCs w:val="24"/>
        </w:rPr>
        <w:t xml:space="preserve">Building downwash can have a dramatic </w:t>
      </w:r>
      <w:r w:rsidR="00361B8E">
        <w:rPr>
          <w:sz w:val="24"/>
          <w:szCs w:val="24"/>
        </w:rPr>
        <w:t>impact</w:t>
      </w:r>
      <w:r w:rsidR="00D1448F" w:rsidRPr="0001206E">
        <w:rPr>
          <w:sz w:val="24"/>
          <w:szCs w:val="24"/>
        </w:rPr>
        <w:t xml:space="preserve"> on predicted </w:t>
      </w:r>
      <w:r w:rsidR="00361B8E">
        <w:rPr>
          <w:sz w:val="24"/>
          <w:szCs w:val="24"/>
        </w:rPr>
        <w:t xml:space="preserve">or </w:t>
      </w:r>
      <w:r w:rsidR="00D1448F" w:rsidRPr="0001206E">
        <w:rPr>
          <w:sz w:val="24"/>
          <w:szCs w:val="24"/>
        </w:rPr>
        <w:t xml:space="preserve">modeled </w:t>
      </w:r>
      <w:r w:rsidR="00F80B73" w:rsidRPr="0001206E">
        <w:rPr>
          <w:sz w:val="24"/>
          <w:szCs w:val="24"/>
        </w:rPr>
        <w:t>impacts.</w:t>
      </w:r>
      <w:r w:rsidR="00D1448F" w:rsidRPr="0001206E">
        <w:rPr>
          <w:sz w:val="24"/>
          <w:szCs w:val="24"/>
        </w:rPr>
        <w:t xml:space="preserve">  </w:t>
      </w:r>
      <w:r w:rsidR="00F80B73" w:rsidRPr="0001206E">
        <w:rPr>
          <w:sz w:val="24"/>
          <w:szCs w:val="24"/>
        </w:rPr>
        <w:t xml:space="preserve">Nearby buildings within a distance up to five times the lesser of the height or the width dimension of a structure, but not greater than 0.8 km (1⁄2 mile) should be evaluated using </w:t>
      </w:r>
      <w:r w:rsidR="005C56C0" w:rsidRPr="007C6C72">
        <w:rPr>
          <w:sz w:val="24"/>
          <w:szCs w:val="24"/>
        </w:rPr>
        <w:t>Building Profile Input Program for PRIME (BPIP-Prime) available at EPA's SCRAM Web site</w:t>
      </w:r>
      <w:r w:rsidR="000E7823" w:rsidRPr="0001206E">
        <w:rPr>
          <w:sz w:val="24"/>
          <w:szCs w:val="24"/>
        </w:rPr>
        <w:t>.</w:t>
      </w:r>
      <w:r w:rsidR="00F80B73" w:rsidRPr="0001206E">
        <w:rPr>
          <w:sz w:val="24"/>
          <w:szCs w:val="24"/>
        </w:rPr>
        <w:t xml:space="preserve">  Include </w:t>
      </w:r>
      <w:r w:rsidR="00EB2AED">
        <w:rPr>
          <w:sz w:val="24"/>
          <w:szCs w:val="24"/>
        </w:rPr>
        <w:t>a BPIP-</w:t>
      </w:r>
      <w:proofErr w:type="gramStart"/>
      <w:r w:rsidR="0001206E">
        <w:rPr>
          <w:sz w:val="24"/>
          <w:szCs w:val="24"/>
        </w:rPr>
        <w:t xml:space="preserve">Prime </w:t>
      </w:r>
      <w:r w:rsidR="00F80B73" w:rsidRPr="0001206E">
        <w:rPr>
          <w:sz w:val="24"/>
          <w:szCs w:val="24"/>
        </w:rPr>
        <w:t xml:space="preserve"> a</w:t>
      </w:r>
      <w:r w:rsidR="000E7823" w:rsidRPr="0001206E">
        <w:rPr>
          <w:sz w:val="24"/>
          <w:szCs w:val="24"/>
        </w:rPr>
        <w:t>nalysis</w:t>
      </w:r>
      <w:proofErr w:type="gramEnd"/>
      <w:r w:rsidR="000E7823" w:rsidRPr="0001206E">
        <w:rPr>
          <w:sz w:val="24"/>
          <w:szCs w:val="24"/>
        </w:rPr>
        <w:t xml:space="preserve"> for </w:t>
      </w:r>
      <w:r w:rsidR="00F80B73" w:rsidRPr="0001206E">
        <w:rPr>
          <w:sz w:val="24"/>
          <w:szCs w:val="24"/>
        </w:rPr>
        <w:t>any structure with a solid face from the ground to the top of the structure</w:t>
      </w:r>
      <w:r w:rsidR="0001206E">
        <w:rPr>
          <w:sz w:val="24"/>
          <w:szCs w:val="24"/>
        </w:rPr>
        <w:t xml:space="preserve">; open lattice structures do </w:t>
      </w:r>
      <w:r w:rsidR="00C00521">
        <w:rPr>
          <w:sz w:val="24"/>
          <w:szCs w:val="24"/>
        </w:rPr>
        <w:t>n</w:t>
      </w:r>
      <w:r w:rsidR="0001206E">
        <w:rPr>
          <w:sz w:val="24"/>
          <w:szCs w:val="24"/>
        </w:rPr>
        <w:t>ot need to be analyzed</w:t>
      </w:r>
      <w:r w:rsidR="00C00521">
        <w:rPr>
          <w:sz w:val="24"/>
          <w:szCs w:val="24"/>
        </w:rPr>
        <w:t xml:space="preserve"> for building downwash</w:t>
      </w:r>
      <w:r w:rsidR="00F80B73" w:rsidRPr="0001206E">
        <w:rPr>
          <w:sz w:val="24"/>
          <w:szCs w:val="24"/>
        </w:rPr>
        <w:t xml:space="preserve">  </w:t>
      </w:r>
      <w:r w:rsidRPr="0001206E">
        <w:rPr>
          <w:sz w:val="24"/>
          <w:szCs w:val="24"/>
        </w:rPr>
        <w:t xml:space="preserve">Average roof heights should be used for peaked or sloped </w:t>
      </w:r>
      <w:r w:rsidR="00C00521">
        <w:rPr>
          <w:sz w:val="24"/>
          <w:szCs w:val="24"/>
        </w:rPr>
        <w:t xml:space="preserve">roofs </w:t>
      </w:r>
      <w:r w:rsidRPr="0001206E">
        <w:rPr>
          <w:sz w:val="24"/>
          <w:szCs w:val="24"/>
        </w:rPr>
        <w:t xml:space="preserve">, and structures with several roof heights should be assessed as a single building with </w:t>
      </w:r>
      <w:r w:rsidR="00D1448F" w:rsidRPr="0001206E">
        <w:rPr>
          <w:sz w:val="24"/>
          <w:szCs w:val="24"/>
        </w:rPr>
        <w:t>multiple</w:t>
      </w:r>
      <w:r w:rsidRPr="0001206E">
        <w:rPr>
          <w:sz w:val="24"/>
          <w:szCs w:val="24"/>
        </w:rPr>
        <w:t xml:space="preserve"> tiers.  </w:t>
      </w:r>
      <w:r w:rsidR="000230BB" w:rsidRPr="0001206E">
        <w:rPr>
          <w:sz w:val="24"/>
          <w:szCs w:val="24"/>
        </w:rPr>
        <w:t xml:space="preserve">All point sources should be </w:t>
      </w:r>
      <w:r w:rsidR="00D1448F" w:rsidRPr="0001206E">
        <w:rPr>
          <w:sz w:val="24"/>
          <w:szCs w:val="24"/>
        </w:rPr>
        <w:t>analyzed using the</w:t>
      </w:r>
      <w:r w:rsidR="00ED080D" w:rsidRPr="0001206E">
        <w:rPr>
          <w:sz w:val="24"/>
          <w:szCs w:val="24"/>
        </w:rPr>
        <w:t xml:space="preserve"> </w:t>
      </w:r>
      <w:r w:rsidR="005C56C0" w:rsidRPr="007C6C72">
        <w:rPr>
          <w:sz w:val="24"/>
          <w:szCs w:val="24"/>
        </w:rPr>
        <w:t>BPIP-Prime building processor</w:t>
      </w:r>
      <w:r w:rsidR="00ED080D" w:rsidRPr="0001206E">
        <w:rPr>
          <w:sz w:val="24"/>
          <w:szCs w:val="24"/>
        </w:rPr>
        <w:t>.</w:t>
      </w:r>
    </w:p>
    <w:p w14:paraId="08150FBD" w14:textId="77777777" w:rsidR="00B870C9" w:rsidRDefault="00B870C9" w:rsidP="00B870C9">
      <w:pPr>
        <w:pStyle w:val="Heading1"/>
        <w:spacing w:before="0"/>
      </w:pPr>
    </w:p>
    <w:p w14:paraId="2B097A1D" w14:textId="77777777" w:rsidR="00B15107" w:rsidRPr="00C00521" w:rsidRDefault="00B15107" w:rsidP="00B870C9">
      <w:pPr>
        <w:pStyle w:val="Heading1"/>
        <w:spacing w:before="0"/>
      </w:pPr>
      <w:bookmarkStart w:id="18" w:name="_Toc489256251"/>
      <w:r w:rsidRPr="00C00521">
        <w:t>Model Parameters</w:t>
      </w:r>
      <w:bookmarkEnd w:id="18"/>
    </w:p>
    <w:p w14:paraId="259E63B5" w14:textId="77777777" w:rsidR="00B15107" w:rsidRPr="00C00521" w:rsidRDefault="00B15107" w:rsidP="00C2171C">
      <w:pPr>
        <w:pStyle w:val="Default"/>
        <w:rPr>
          <w:color w:val="auto"/>
        </w:rPr>
      </w:pPr>
      <w:r w:rsidRPr="00C00521">
        <w:rPr>
          <w:color w:val="auto"/>
        </w:rPr>
        <w:t xml:space="preserve">Use of unrealistic </w:t>
      </w:r>
      <w:r w:rsidR="00E0524C" w:rsidRPr="00C00521">
        <w:rPr>
          <w:color w:val="auto"/>
        </w:rPr>
        <w:t>modeling</w:t>
      </w:r>
      <w:r w:rsidRPr="00C00521">
        <w:rPr>
          <w:color w:val="auto"/>
        </w:rPr>
        <w:t xml:space="preserve"> parameters such as stack flow rates</w:t>
      </w:r>
      <w:r w:rsidR="00E0524C" w:rsidRPr="00C00521">
        <w:rPr>
          <w:color w:val="auto"/>
        </w:rPr>
        <w:t xml:space="preserve">, </w:t>
      </w:r>
      <w:r w:rsidRPr="00C00521">
        <w:rPr>
          <w:color w:val="auto"/>
        </w:rPr>
        <w:t xml:space="preserve">stack gas temperatures, </w:t>
      </w:r>
      <w:r w:rsidR="00E0524C" w:rsidRPr="00C00521">
        <w:rPr>
          <w:color w:val="auto"/>
        </w:rPr>
        <w:t xml:space="preserve">or volume source release heights, </w:t>
      </w:r>
      <w:r w:rsidRPr="00C00521">
        <w:rPr>
          <w:color w:val="auto"/>
        </w:rPr>
        <w:t>c</w:t>
      </w:r>
      <w:r w:rsidR="00E0524C" w:rsidRPr="00C00521">
        <w:rPr>
          <w:color w:val="auto"/>
        </w:rPr>
        <w:t>an significantly</w:t>
      </w:r>
      <w:r w:rsidRPr="00C00521">
        <w:rPr>
          <w:color w:val="auto"/>
        </w:rPr>
        <w:t xml:space="preserve"> </w:t>
      </w:r>
      <w:r w:rsidR="00E965C7" w:rsidRPr="00C00521">
        <w:rPr>
          <w:color w:val="auto"/>
        </w:rPr>
        <w:t>influence</w:t>
      </w:r>
      <w:r w:rsidR="00E0524C" w:rsidRPr="00C00521">
        <w:rPr>
          <w:color w:val="auto"/>
        </w:rPr>
        <w:t xml:space="preserve"> the predicted </w:t>
      </w:r>
      <w:r w:rsidR="00E965C7" w:rsidRPr="00C00521">
        <w:rPr>
          <w:color w:val="auto"/>
        </w:rPr>
        <w:t xml:space="preserve">modeled </w:t>
      </w:r>
      <w:r w:rsidRPr="00C00521">
        <w:rPr>
          <w:color w:val="auto"/>
        </w:rPr>
        <w:t>impacts</w:t>
      </w:r>
      <w:r w:rsidR="0039036E" w:rsidRPr="00C00521">
        <w:rPr>
          <w:color w:val="auto"/>
        </w:rPr>
        <w:t xml:space="preserve">.  </w:t>
      </w:r>
      <w:r w:rsidR="00E0524C" w:rsidRPr="00C00521">
        <w:rPr>
          <w:color w:val="auto"/>
        </w:rPr>
        <w:t>T</w:t>
      </w:r>
      <w:r w:rsidRPr="00C00521">
        <w:rPr>
          <w:color w:val="auto"/>
        </w:rPr>
        <w:t>his c</w:t>
      </w:r>
      <w:r w:rsidR="00E0524C" w:rsidRPr="00C00521">
        <w:rPr>
          <w:color w:val="auto"/>
        </w:rPr>
        <w:t xml:space="preserve">an </w:t>
      </w:r>
      <w:r w:rsidRPr="00C00521">
        <w:rPr>
          <w:color w:val="auto"/>
        </w:rPr>
        <w:t xml:space="preserve">result in under or over-estimation of </w:t>
      </w:r>
      <w:r w:rsidR="0066670E" w:rsidRPr="00C00521">
        <w:rPr>
          <w:color w:val="auto"/>
        </w:rPr>
        <w:t>modeled</w:t>
      </w:r>
      <w:r w:rsidR="00E965C7" w:rsidRPr="00C00521">
        <w:rPr>
          <w:color w:val="auto"/>
        </w:rPr>
        <w:t xml:space="preserve"> impacts.  R</w:t>
      </w:r>
      <w:r w:rsidRPr="00C00521">
        <w:rPr>
          <w:color w:val="auto"/>
        </w:rPr>
        <w:t xml:space="preserve">easonably accurate release parameters </w:t>
      </w:r>
      <w:r w:rsidR="00E965C7" w:rsidRPr="00C00521">
        <w:rPr>
          <w:color w:val="auto"/>
        </w:rPr>
        <w:t xml:space="preserve">should </w:t>
      </w:r>
      <w:r w:rsidRPr="00C00521">
        <w:rPr>
          <w:color w:val="auto"/>
        </w:rPr>
        <w:t xml:space="preserve">be used </w:t>
      </w:r>
      <w:r w:rsidR="00E0524C" w:rsidRPr="00C00521">
        <w:rPr>
          <w:color w:val="auto"/>
        </w:rPr>
        <w:t>and documented in the modeling report</w:t>
      </w:r>
      <w:r w:rsidR="0039036E" w:rsidRPr="00C00521">
        <w:rPr>
          <w:color w:val="auto"/>
        </w:rPr>
        <w:t xml:space="preserve">.  </w:t>
      </w:r>
      <w:r w:rsidR="00E0524C" w:rsidRPr="00C00521">
        <w:rPr>
          <w:color w:val="auto"/>
        </w:rPr>
        <w:t xml:space="preserve">Documentation can be satisfied using calculations that clearly provides all assumptions, manufacturer's specifications, stack testing data, or any other appropriate documentation that supports </w:t>
      </w:r>
      <w:r w:rsidR="00CC1BDE" w:rsidRPr="00C00521">
        <w:rPr>
          <w:color w:val="auto"/>
        </w:rPr>
        <w:t>the value used to calculate the modeling</w:t>
      </w:r>
      <w:r w:rsidR="00E0524C" w:rsidRPr="00C00521">
        <w:rPr>
          <w:color w:val="auto"/>
        </w:rPr>
        <w:t xml:space="preserve"> parameter.  </w:t>
      </w:r>
      <w:r w:rsidRPr="00C00521">
        <w:rPr>
          <w:color w:val="auto"/>
        </w:rPr>
        <w:t xml:space="preserve">In some instances, </w:t>
      </w:r>
      <w:r w:rsidR="0066670E" w:rsidRPr="00C00521">
        <w:rPr>
          <w:color w:val="auto"/>
        </w:rPr>
        <w:t>when</w:t>
      </w:r>
      <w:r w:rsidRPr="00C00521">
        <w:rPr>
          <w:color w:val="auto"/>
        </w:rPr>
        <w:t xml:space="preserve"> expected parameters are highly variable, it may be more appropriate to use multiple operational scenarios to evaluate the effects of varying parameters.</w:t>
      </w:r>
    </w:p>
    <w:p w14:paraId="4863E0EF" w14:textId="77777777" w:rsidR="00B870C9" w:rsidRDefault="00B870C9" w:rsidP="00B870C9">
      <w:pPr>
        <w:pStyle w:val="Heading1"/>
        <w:spacing w:before="0"/>
      </w:pPr>
    </w:p>
    <w:p w14:paraId="3AB903EC" w14:textId="77777777" w:rsidR="009E3B37" w:rsidRPr="00C00521" w:rsidRDefault="009E3B37" w:rsidP="00B870C9">
      <w:pPr>
        <w:pStyle w:val="Heading1"/>
        <w:spacing w:before="0"/>
      </w:pPr>
      <w:bookmarkStart w:id="19" w:name="_Toc489256252"/>
      <w:r w:rsidRPr="00C00521">
        <w:t>Receptors and Terrain</w:t>
      </w:r>
      <w:bookmarkEnd w:id="19"/>
    </w:p>
    <w:p w14:paraId="66D83911" w14:textId="77777777" w:rsidR="009E3B37" w:rsidRPr="00C00521" w:rsidRDefault="00EB735B" w:rsidP="009E3B37">
      <w:pPr>
        <w:rPr>
          <w:sz w:val="24"/>
          <w:szCs w:val="24"/>
        </w:rPr>
      </w:pPr>
      <w:r w:rsidRPr="00C00521">
        <w:rPr>
          <w:sz w:val="24"/>
          <w:szCs w:val="24"/>
        </w:rPr>
        <w:t>Ambient air is the area where</w:t>
      </w:r>
      <w:r w:rsidR="009E3B37" w:rsidRPr="00C00521">
        <w:rPr>
          <w:sz w:val="24"/>
          <w:szCs w:val="24"/>
        </w:rPr>
        <w:t xml:space="preserve"> public access is </w:t>
      </w:r>
      <w:r w:rsidRPr="00C00521">
        <w:rPr>
          <w:sz w:val="24"/>
          <w:szCs w:val="24"/>
        </w:rPr>
        <w:t>excluded</w:t>
      </w:r>
      <w:r w:rsidR="009E3B37" w:rsidRPr="00C00521">
        <w:rPr>
          <w:sz w:val="24"/>
          <w:szCs w:val="24"/>
        </w:rPr>
        <w:t xml:space="preserve"> by a fence or other physical barrier or when there is reasonable expectation that the public will be </w:t>
      </w:r>
      <w:r w:rsidR="009A4ADC" w:rsidRPr="00C00521">
        <w:rPr>
          <w:sz w:val="24"/>
          <w:szCs w:val="24"/>
        </w:rPr>
        <w:t>excluded</w:t>
      </w:r>
      <w:r w:rsidR="009E3B37" w:rsidRPr="00C00521">
        <w:rPr>
          <w:sz w:val="24"/>
          <w:szCs w:val="24"/>
        </w:rPr>
        <w:t xml:space="preserve">.  </w:t>
      </w:r>
      <w:r w:rsidRPr="00C00521">
        <w:rPr>
          <w:sz w:val="24"/>
          <w:szCs w:val="24"/>
        </w:rPr>
        <w:t xml:space="preserve">When a public road cuts through a facility's property, that </w:t>
      </w:r>
      <w:r w:rsidR="00CC1A5C" w:rsidRPr="00C00521">
        <w:rPr>
          <w:sz w:val="24"/>
          <w:szCs w:val="24"/>
        </w:rPr>
        <w:t>roadway</w:t>
      </w:r>
      <w:r w:rsidRPr="00C00521">
        <w:rPr>
          <w:sz w:val="24"/>
          <w:szCs w:val="24"/>
        </w:rPr>
        <w:t xml:space="preserve"> shall be treated </w:t>
      </w:r>
      <w:r w:rsidR="009E3B37" w:rsidRPr="00C00521">
        <w:rPr>
          <w:sz w:val="24"/>
          <w:szCs w:val="24"/>
        </w:rPr>
        <w:t>as ambient air.</w:t>
      </w:r>
    </w:p>
    <w:p w14:paraId="10123432" w14:textId="77777777" w:rsidR="00EB735B" w:rsidRPr="00C00521" w:rsidRDefault="00EB735B" w:rsidP="009E3B37">
      <w:pPr>
        <w:rPr>
          <w:b/>
          <w:sz w:val="24"/>
          <w:szCs w:val="24"/>
        </w:rPr>
      </w:pPr>
    </w:p>
    <w:p w14:paraId="25690EAC" w14:textId="77777777" w:rsidR="0037547C" w:rsidRPr="00C00521" w:rsidRDefault="00EB735B" w:rsidP="009E3B37">
      <w:pPr>
        <w:rPr>
          <w:sz w:val="24"/>
          <w:szCs w:val="24"/>
        </w:rPr>
      </w:pPr>
      <w:r w:rsidRPr="00C00521">
        <w:rPr>
          <w:sz w:val="24"/>
          <w:szCs w:val="24"/>
        </w:rPr>
        <w:t>Receptors are</w:t>
      </w:r>
      <w:r w:rsidR="009A4ADC" w:rsidRPr="00C00521">
        <w:rPr>
          <w:sz w:val="24"/>
          <w:szCs w:val="24"/>
        </w:rPr>
        <w:t xml:space="preserve"> generally spaced along a </w:t>
      </w:r>
      <w:r w:rsidR="00F80B73" w:rsidRPr="00C00521">
        <w:rPr>
          <w:sz w:val="24"/>
          <w:szCs w:val="24"/>
        </w:rPr>
        <w:t>Cartesian</w:t>
      </w:r>
      <w:r w:rsidR="009A4ADC" w:rsidRPr="00C00521">
        <w:rPr>
          <w:sz w:val="24"/>
          <w:szCs w:val="24"/>
        </w:rPr>
        <w:t xml:space="preserve"> coordinate system </w:t>
      </w:r>
      <w:r w:rsidRPr="00C00521">
        <w:rPr>
          <w:sz w:val="24"/>
          <w:szCs w:val="24"/>
        </w:rPr>
        <w:t xml:space="preserve">spaced </w:t>
      </w:r>
      <w:r w:rsidR="009E3B37" w:rsidRPr="00C00521">
        <w:rPr>
          <w:sz w:val="24"/>
          <w:szCs w:val="24"/>
        </w:rPr>
        <w:t>to determine the highest impacts</w:t>
      </w:r>
      <w:r w:rsidRPr="00C00521">
        <w:rPr>
          <w:sz w:val="24"/>
          <w:szCs w:val="24"/>
        </w:rPr>
        <w:t xml:space="preserve">. </w:t>
      </w:r>
      <w:r w:rsidR="009E3B37" w:rsidRPr="00C00521">
        <w:rPr>
          <w:sz w:val="24"/>
          <w:szCs w:val="24"/>
        </w:rPr>
        <w:t xml:space="preserve"> Concentrations should be decreasing at the edge of the grid.  The grid shall be extended when the terrain elevations are rising at the edge of the grid.</w:t>
      </w:r>
      <w:r w:rsidR="009B52F2">
        <w:rPr>
          <w:sz w:val="24"/>
          <w:szCs w:val="24"/>
        </w:rPr>
        <w:t xml:space="preserve">  </w:t>
      </w:r>
      <w:r w:rsidR="0037547C" w:rsidRPr="00C00521">
        <w:rPr>
          <w:sz w:val="24"/>
          <w:szCs w:val="24"/>
        </w:rPr>
        <w:t xml:space="preserve">Appropriate receptor grid spacing is given </w:t>
      </w:r>
      <w:r w:rsidR="009B52F2">
        <w:rPr>
          <w:sz w:val="24"/>
          <w:szCs w:val="24"/>
        </w:rPr>
        <w:t xml:space="preserve">in </w:t>
      </w:r>
      <w:r w:rsidR="0037547C" w:rsidRPr="00C00521">
        <w:rPr>
          <w:sz w:val="24"/>
          <w:szCs w:val="24"/>
        </w:rPr>
        <w:t xml:space="preserve">the </w:t>
      </w:r>
      <w:r w:rsidR="009B52F2">
        <w:rPr>
          <w:sz w:val="24"/>
          <w:szCs w:val="24"/>
        </w:rPr>
        <w:t xml:space="preserve">following </w:t>
      </w:r>
      <w:r w:rsidR="0037547C" w:rsidRPr="00C00521">
        <w:rPr>
          <w:sz w:val="24"/>
          <w:szCs w:val="24"/>
        </w:rPr>
        <w:t>Table</w:t>
      </w:r>
      <w:r w:rsidR="009B52F2">
        <w:rPr>
          <w:sz w:val="24"/>
          <w:szCs w:val="24"/>
        </w:rPr>
        <w:t>.</w:t>
      </w:r>
    </w:p>
    <w:p w14:paraId="4A64B247" w14:textId="77777777" w:rsidR="0037547C" w:rsidRPr="00C00521" w:rsidRDefault="0037547C" w:rsidP="009E3B37">
      <w:pPr>
        <w:rPr>
          <w:sz w:val="24"/>
          <w:szCs w:val="24"/>
        </w:rPr>
      </w:pPr>
    </w:p>
    <w:p w14:paraId="141826D0" w14:textId="77777777" w:rsidR="009E3B37" w:rsidRPr="00C00521" w:rsidRDefault="009E3B37" w:rsidP="009E3B37">
      <w:pPr>
        <w:rPr>
          <w:sz w:val="24"/>
          <w:szCs w:val="24"/>
        </w:rPr>
      </w:pPr>
    </w:p>
    <w:tbl>
      <w:tblPr>
        <w:tblStyle w:val="TableGrid"/>
        <w:tblW w:w="0" w:type="auto"/>
        <w:jc w:val="center"/>
        <w:tblLook w:val="04A0" w:firstRow="1" w:lastRow="0" w:firstColumn="1" w:lastColumn="0" w:noHBand="0" w:noVBand="1"/>
      </w:tblPr>
      <w:tblGrid>
        <w:gridCol w:w="3192"/>
        <w:gridCol w:w="3192"/>
      </w:tblGrid>
      <w:tr w:rsidR="009E3B37" w:rsidRPr="007D0011" w14:paraId="70E5B845" w14:textId="77777777" w:rsidTr="006852BC">
        <w:trPr>
          <w:tblHeader/>
          <w:jc w:val="center"/>
        </w:trPr>
        <w:tc>
          <w:tcPr>
            <w:tcW w:w="6384" w:type="dxa"/>
            <w:gridSpan w:val="2"/>
            <w:tcBorders>
              <w:top w:val="nil"/>
              <w:left w:val="nil"/>
              <w:bottom w:val="single" w:sz="12" w:space="0" w:color="auto"/>
              <w:right w:val="nil"/>
            </w:tcBorders>
          </w:tcPr>
          <w:p w14:paraId="7D95A4F1" w14:textId="77777777" w:rsidR="009E3B37" w:rsidRPr="00C00521" w:rsidRDefault="001A3790" w:rsidP="00230BB8">
            <w:pPr>
              <w:jc w:val="center"/>
              <w:rPr>
                <w:b/>
                <w:sz w:val="24"/>
                <w:szCs w:val="24"/>
              </w:rPr>
            </w:pPr>
            <w:r w:rsidRPr="00C00521">
              <w:rPr>
                <w:b/>
                <w:sz w:val="24"/>
                <w:szCs w:val="24"/>
              </w:rPr>
              <w:t xml:space="preserve">Table </w:t>
            </w:r>
            <w:r w:rsidR="00230BB8" w:rsidRPr="00C00521">
              <w:rPr>
                <w:b/>
                <w:sz w:val="24"/>
                <w:szCs w:val="24"/>
              </w:rPr>
              <w:t>7</w:t>
            </w:r>
            <w:r w:rsidRPr="00C00521">
              <w:rPr>
                <w:b/>
                <w:sz w:val="24"/>
                <w:szCs w:val="24"/>
              </w:rPr>
              <w:t xml:space="preserve"> </w:t>
            </w:r>
            <w:r w:rsidR="009B52F2" w:rsidRPr="00C00521">
              <w:rPr>
                <w:b/>
                <w:sz w:val="24"/>
                <w:szCs w:val="24"/>
              </w:rPr>
              <w:t>-</w:t>
            </w:r>
            <w:r w:rsidRPr="00C00521">
              <w:rPr>
                <w:b/>
                <w:sz w:val="24"/>
                <w:szCs w:val="24"/>
              </w:rPr>
              <w:t xml:space="preserve"> </w:t>
            </w:r>
            <w:r w:rsidR="009E3B37" w:rsidRPr="00C00521">
              <w:rPr>
                <w:b/>
                <w:sz w:val="24"/>
                <w:szCs w:val="24"/>
              </w:rPr>
              <w:t>Receptor Spacing (m</w:t>
            </w:r>
            <w:r w:rsidRPr="00C00521">
              <w:rPr>
                <w:b/>
                <w:sz w:val="24"/>
                <w:szCs w:val="24"/>
              </w:rPr>
              <w:t>eters</w:t>
            </w:r>
            <w:r w:rsidR="009E3B37" w:rsidRPr="00C00521">
              <w:rPr>
                <w:b/>
                <w:sz w:val="24"/>
                <w:szCs w:val="24"/>
              </w:rPr>
              <w:t>)</w:t>
            </w:r>
          </w:p>
        </w:tc>
      </w:tr>
      <w:tr w:rsidR="009E3B37" w:rsidRPr="007D0011" w14:paraId="071A71AB" w14:textId="77777777" w:rsidTr="006852BC">
        <w:trPr>
          <w:tblHeader/>
          <w:jc w:val="center"/>
        </w:trPr>
        <w:tc>
          <w:tcPr>
            <w:tcW w:w="3192" w:type="dxa"/>
            <w:tcBorders>
              <w:top w:val="single" w:sz="12" w:space="0" w:color="auto"/>
              <w:left w:val="single" w:sz="4" w:space="0" w:color="auto"/>
            </w:tcBorders>
          </w:tcPr>
          <w:p w14:paraId="37DB1FAF" w14:textId="77777777" w:rsidR="009E3B37" w:rsidRPr="00C00521" w:rsidRDefault="009A4ADC" w:rsidP="009A4ADC">
            <w:pPr>
              <w:rPr>
                <w:sz w:val="24"/>
                <w:szCs w:val="24"/>
              </w:rPr>
            </w:pPr>
            <w:r w:rsidRPr="00C00521">
              <w:rPr>
                <w:sz w:val="24"/>
                <w:szCs w:val="24"/>
              </w:rPr>
              <w:t xml:space="preserve">Along </w:t>
            </w:r>
            <w:proofErr w:type="spellStart"/>
            <w:r w:rsidRPr="00C00521">
              <w:rPr>
                <w:sz w:val="24"/>
                <w:szCs w:val="24"/>
              </w:rPr>
              <w:t>f</w:t>
            </w:r>
            <w:r w:rsidR="009E3B37" w:rsidRPr="00C00521">
              <w:rPr>
                <w:sz w:val="24"/>
                <w:szCs w:val="24"/>
              </w:rPr>
              <w:t>enceline</w:t>
            </w:r>
            <w:proofErr w:type="spellEnd"/>
          </w:p>
        </w:tc>
        <w:tc>
          <w:tcPr>
            <w:tcW w:w="3192" w:type="dxa"/>
            <w:tcBorders>
              <w:top w:val="single" w:sz="12" w:space="0" w:color="auto"/>
              <w:right w:val="single" w:sz="4" w:space="0" w:color="auto"/>
            </w:tcBorders>
          </w:tcPr>
          <w:p w14:paraId="6C5B56B6" w14:textId="77777777" w:rsidR="009E3B37" w:rsidRPr="00C00521" w:rsidRDefault="009E3B37" w:rsidP="00CD7544">
            <w:pPr>
              <w:jc w:val="center"/>
              <w:rPr>
                <w:sz w:val="24"/>
                <w:szCs w:val="24"/>
              </w:rPr>
            </w:pPr>
            <w:r w:rsidRPr="00C00521">
              <w:rPr>
                <w:sz w:val="24"/>
                <w:szCs w:val="24"/>
              </w:rPr>
              <w:t>50</w:t>
            </w:r>
          </w:p>
        </w:tc>
      </w:tr>
      <w:tr w:rsidR="009E3B37" w:rsidRPr="007D0011" w14:paraId="3FFAB27F" w14:textId="77777777" w:rsidTr="006852BC">
        <w:trPr>
          <w:tblHeader/>
          <w:jc w:val="center"/>
        </w:trPr>
        <w:tc>
          <w:tcPr>
            <w:tcW w:w="3192" w:type="dxa"/>
            <w:tcBorders>
              <w:left w:val="single" w:sz="4" w:space="0" w:color="auto"/>
            </w:tcBorders>
          </w:tcPr>
          <w:p w14:paraId="1C874FD1" w14:textId="77777777" w:rsidR="009E3B37" w:rsidRPr="00C00521" w:rsidRDefault="009E3B37" w:rsidP="009A4ADC">
            <w:pPr>
              <w:rPr>
                <w:sz w:val="24"/>
                <w:szCs w:val="24"/>
              </w:rPr>
            </w:pPr>
            <w:proofErr w:type="spellStart"/>
            <w:r w:rsidRPr="00C00521">
              <w:rPr>
                <w:sz w:val="24"/>
                <w:szCs w:val="24"/>
              </w:rPr>
              <w:t>Fenceline</w:t>
            </w:r>
            <w:proofErr w:type="spellEnd"/>
            <w:r w:rsidRPr="00C00521">
              <w:rPr>
                <w:sz w:val="24"/>
                <w:szCs w:val="24"/>
              </w:rPr>
              <w:t xml:space="preserve"> to </w:t>
            </w:r>
            <w:r w:rsidR="009A4ADC" w:rsidRPr="00C00521">
              <w:rPr>
                <w:sz w:val="24"/>
                <w:szCs w:val="24"/>
              </w:rPr>
              <w:t>4</w:t>
            </w:r>
            <w:r w:rsidRPr="00C00521">
              <w:rPr>
                <w:sz w:val="24"/>
                <w:szCs w:val="24"/>
              </w:rPr>
              <w:t>00 meters</w:t>
            </w:r>
          </w:p>
        </w:tc>
        <w:tc>
          <w:tcPr>
            <w:tcW w:w="3192" w:type="dxa"/>
            <w:tcBorders>
              <w:right w:val="single" w:sz="4" w:space="0" w:color="auto"/>
            </w:tcBorders>
          </w:tcPr>
          <w:p w14:paraId="0E0DBC3A" w14:textId="77777777" w:rsidR="009E3B37" w:rsidRPr="00C00521" w:rsidRDefault="009E3B37" w:rsidP="00CD7544">
            <w:pPr>
              <w:jc w:val="center"/>
              <w:rPr>
                <w:sz w:val="24"/>
                <w:szCs w:val="24"/>
              </w:rPr>
            </w:pPr>
            <w:r w:rsidRPr="00C00521">
              <w:rPr>
                <w:sz w:val="24"/>
                <w:szCs w:val="24"/>
              </w:rPr>
              <w:t>50</w:t>
            </w:r>
          </w:p>
        </w:tc>
      </w:tr>
      <w:tr w:rsidR="009E3B37" w:rsidRPr="007D0011" w14:paraId="5924339B" w14:textId="77777777" w:rsidTr="006852BC">
        <w:trPr>
          <w:tblHeader/>
          <w:jc w:val="center"/>
        </w:trPr>
        <w:tc>
          <w:tcPr>
            <w:tcW w:w="3192" w:type="dxa"/>
            <w:tcBorders>
              <w:left w:val="single" w:sz="4" w:space="0" w:color="auto"/>
            </w:tcBorders>
          </w:tcPr>
          <w:p w14:paraId="0F9E792C" w14:textId="77777777" w:rsidR="009E3B37" w:rsidRPr="00C00521" w:rsidRDefault="009A4ADC" w:rsidP="003B3D0C">
            <w:pPr>
              <w:rPr>
                <w:sz w:val="24"/>
                <w:szCs w:val="24"/>
              </w:rPr>
            </w:pPr>
            <w:r w:rsidRPr="00C00521">
              <w:rPr>
                <w:sz w:val="24"/>
                <w:szCs w:val="24"/>
              </w:rPr>
              <w:t>4</w:t>
            </w:r>
            <w:r w:rsidR="009E3B37" w:rsidRPr="00C00521">
              <w:rPr>
                <w:sz w:val="24"/>
                <w:szCs w:val="24"/>
              </w:rPr>
              <w:t>00 meters to 2</w:t>
            </w:r>
            <w:r w:rsidR="003B3D0C" w:rsidRPr="00C00521">
              <w:rPr>
                <w:sz w:val="24"/>
                <w:szCs w:val="24"/>
              </w:rPr>
              <w:t xml:space="preserve"> </w:t>
            </w:r>
            <w:r w:rsidR="009E3B37" w:rsidRPr="00C00521">
              <w:rPr>
                <w:sz w:val="24"/>
                <w:szCs w:val="24"/>
              </w:rPr>
              <w:t xml:space="preserve">km </w:t>
            </w:r>
          </w:p>
        </w:tc>
        <w:tc>
          <w:tcPr>
            <w:tcW w:w="3192" w:type="dxa"/>
            <w:tcBorders>
              <w:right w:val="single" w:sz="4" w:space="0" w:color="auto"/>
            </w:tcBorders>
          </w:tcPr>
          <w:p w14:paraId="4D9B47F4" w14:textId="77777777" w:rsidR="009E3B37" w:rsidRPr="00C00521" w:rsidRDefault="009E3B37" w:rsidP="00CD7544">
            <w:pPr>
              <w:jc w:val="center"/>
              <w:rPr>
                <w:sz w:val="24"/>
                <w:szCs w:val="24"/>
              </w:rPr>
            </w:pPr>
            <w:r w:rsidRPr="00C00521">
              <w:rPr>
                <w:sz w:val="24"/>
                <w:szCs w:val="24"/>
              </w:rPr>
              <w:t>100</w:t>
            </w:r>
          </w:p>
        </w:tc>
      </w:tr>
      <w:tr w:rsidR="009E3B37" w:rsidRPr="007D0011" w14:paraId="639789EE" w14:textId="77777777" w:rsidTr="006852BC">
        <w:trPr>
          <w:tblHeader/>
          <w:jc w:val="center"/>
        </w:trPr>
        <w:tc>
          <w:tcPr>
            <w:tcW w:w="3192" w:type="dxa"/>
            <w:tcBorders>
              <w:left w:val="single" w:sz="4" w:space="0" w:color="auto"/>
            </w:tcBorders>
          </w:tcPr>
          <w:p w14:paraId="5CDCA496" w14:textId="77777777" w:rsidR="009E3B37" w:rsidRPr="00C00521" w:rsidRDefault="009E3B37" w:rsidP="003B3D0C">
            <w:pPr>
              <w:rPr>
                <w:sz w:val="24"/>
                <w:szCs w:val="24"/>
              </w:rPr>
            </w:pPr>
            <w:r w:rsidRPr="00C00521">
              <w:rPr>
                <w:sz w:val="24"/>
                <w:szCs w:val="24"/>
              </w:rPr>
              <w:t>2</w:t>
            </w:r>
            <w:r w:rsidR="003B3D0C" w:rsidRPr="00C00521">
              <w:rPr>
                <w:sz w:val="24"/>
                <w:szCs w:val="24"/>
              </w:rPr>
              <w:t xml:space="preserve"> </w:t>
            </w:r>
            <w:r w:rsidRPr="00C00521">
              <w:rPr>
                <w:sz w:val="24"/>
                <w:szCs w:val="24"/>
              </w:rPr>
              <w:t>km to 5</w:t>
            </w:r>
            <w:r w:rsidR="003B3D0C" w:rsidRPr="00C00521">
              <w:rPr>
                <w:sz w:val="24"/>
                <w:szCs w:val="24"/>
              </w:rPr>
              <w:t xml:space="preserve"> </w:t>
            </w:r>
            <w:r w:rsidRPr="00C00521">
              <w:rPr>
                <w:sz w:val="24"/>
                <w:szCs w:val="24"/>
              </w:rPr>
              <w:t>km</w:t>
            </w:r>
          </w:p>
        </w:tc>
        <w:tc>
          <w:tcPr>
            <w:tcW w:w="3192" w:type="dxa"/>
            <w:tcBorders>
              <w:right w:val="single" w:sz="4" w:space="0" w:color="auto"/>
            </w:tcBorders>
          </w:tcPr>
          <w:p w14:paraId="17A3022F" w14:textId="77777777" w:rsidR="009E3B37" w:rsidRPr="00C00521" w:rsidRDefault="009E3B37" w:rsidP="00CD7544">
            <w:pPr>
              <w:jc w:val="center"/>
              <w:rPr>
                <w:sz w:val="24"/>
                <w:szCs w:val="24"/>
              </w:rPr>
            </w:pPr>
            <w:r w:rsidRPr="00C00521">
              <w:rPr>
                <w:sz w:val="24"/>
                <w:szCs w:val="24"/>
              </w:rPr>
              <w:t>250</w:t>
            </w:r>
          </w:p>
        </w:tc>
      </w:tr>
      <w:tr w:rsidR="009E3B37" w:rsidRPr="007D0011" w14:paraId="13B06D66" w14:textId="77777777" w:rsidTr="006852BC">
        <w:trPr>
          <w:tblHeader/>
          <w:jc w:val="center"/>
        </w:trPr>
        <w:tc>
          <w:tcPr>
            <w:tcW w:w="3192" w:type="dxa"/>
            <w:tcBorders>
              <w:left w:val="single" w:sz="4" w:space="0" w:color="auto"/>
            </w:tcBorders>
          </w:tcPr>
          <w:p w14:paraId="47936CE4" w14:textId="77777777" w:rsidR="009E3B37" w:rsidRPr="00C00521" w:rsidRDefault="009E3B37" w:rsidP="003B3D0C">
            <w:pPr>
              <w:rPr>
                <w:sz w:val="24"/>
                <w:szCs w:val="24"/>
              </w:rPr>
            </w:pPr>
            <w:r w:rsidRPr="00C00521">
              <w:rPr>
                <w:sz w:val="24"/>
                <w:szCs w:val="24"/>
              </w:rPr>
              <w:t>5</w:t>
            </w:r>
            <w:r w:rsidR="003B3D0C" w:rsidRPr="00C00521">
              <w:rPr>
                <w:sz w:val="24"/>
                <w:szCs w:val="24"/>
              </w:rPr>
              <w:t xml:space="preserve"> </w:t>
            </w:r>
            <w:r w:rsidRPr="00C00521">
              <w:rPr>
                <w:sz w:val="24"/>
                <w:szCs w:val="24"/>
              </w:rPr>
              <w:t>km to 7</w:t>
            </w:r>
            <w:r w:rsidR="003B3D0C" w:rsidRPr="00C00521">
              <w:rPr>
                <w:sz w:val="24"/>
                <w:szCs w:val="24"/>
              </w:rPr>
              <w:t xml:space="preserve"> </w:t>
            </w:r>
            <w:r w:rsidRPr="00C00521">
              <w:rPr>
                <w:sz w:val="24"/>
                <w:szCs w:val="24"/>
              </w:rPr>
              <w:t>km</w:t>
            </w:r>
          </w:p>
        </w:tc>
        <w:tc>
          <w:tcPr>
            <w:tcW w:w="3192" w:type="dxa"/>
            <w:tcBorders>
              <w:right w:val="single" w:sz="4" w:space="0" w:color="auto"/>
            </w:tcBorders>
          </w:tcPr>
          <w:p w14:paraId="7DC54336" w14:textId="77777777" w:rsidR="009E3B37" w:rsidRPr="00C00521" w:rsidRDefault="009E3B37" w:rsidP="00CD7544">
            <w:pPr>
              <w:jc w:val="center"/>
              <w:rPr>
                <w:sz w:val="24"/>
                <w:szCs w:val="24"/>
              </w:rPr>
            </w:pPr>
            <w:r w:rsidRPr="00C00521">
              <w:rPr>
                <w:sz w:val="24"/>
                <w:szCs w:val="24"/>
              </w:rPr>
              <w:t>500</w:t>
            </w:r>
          </w:p>
        </w:tc>
      </w:tr>
      <w:tr w:rsidR="009E3B37" w:rsidRPr="007D0011" w14:paraId="7F9F81FF" w14:textId="77777777" w:rsidTr="006852BC">
        <w:trPr>
          <w:tblHeader/>
          <w:jc w:val="center"/>
        </w:trPr>
        <w:tc>
          <w:tcPr>
            <w:tcW w:w="3192" w:type="dxa"/>
            <w:tcBorders>
              <w:left w:val="single" w:sz="4" w:space="0" w:color="auto"/>
            </w:tcBorders>
          </w:tcPr>
          <w:p w14:paraId="7261A26A" w14:textId="77777777" w:rsidR="009E3B37" w:rsidRPr="00C00521" w:rsidRDefault="009E3B37" w:rsidP="003B3D0C">
            <w:pPr>
              <w:rPr>
                <w:sz w:val="24"/>
                <w:szCs w:val="24"/>
              </w:rPr>
            </w:pPr>
            <w:r w:rsidRPr="00C00521">
              <w:rPr>
                <w:sz w:val="24"/>
                <w:szCs w:val="24"/>
              </w:rPr>
              <w:t>Greater than 7</w:t>
            </w:r>
            <w:r w:rsidR="003B3D0C" w:rsidRPr="00C00521">
              <w:rPr>
                <w:sz w:val="24"/>
                <w:szCs w:val="24"/>
              </w:rPr>
              <w:t xml:space="preserve"> </w:t>
            </w:r>
            <w:r w:rsidRPr="00C00521">
              <w:rPr>
                <w:sz w:val="24"/>
                <w:szCs w:val="24"/>
              </w:rPr>
              <w:t xml:space="preserve">km </w:t>
            </w:r>
          </w:p>
        </w:tc>
        <w:tc>
          <w:tcPr>
            <w:tcW w:w="3192" w:type="dxa"/>
            <w:tcBorders>
              <w:right w:val="single" w:sz="4" w:space="0" w:color="auto"/>
            </w:tcBorders>
          </w:tcPr>
          <w:p w14:paraId="26A0BDD6" w14:textId="77777777" w:rsidR="009E3B37" w:rsidRPr="00C00521" w:rsidRDefault="009E3B37" w:rsidP="00CD7544">
            <w:pPr>
              <w:jc w:val="center"/>
              <w:rPr>
                <w:sz w:val="24"/>
                <w:szCs w:val="24"/>
              </w:rPr>
            </w:pPr>
            <w:r w:rsidRPr="00C00521">
              <w:rPr>
                <w:sz w:val="24"/>
                <w:szCs w:val="24"/>
              </w:rPr>
              <w:t>1000</w:t>
            </w:r>
          </w:p>
        </w:tc>
      </w:tr>
    </w:tbl>
    <w:p w14:paraId="254B09E0" w14:textId="77777777" w:rsidR="009E3B37" w:rsidRPr="00C00521" w:rsidRDefault="009E3B37" w:rsidP="009E3B37">
      <w:pPr>
        <w:rPr>
          <w:sz w:val="24"/>
          <w:szCs w:val="24"/>
        </w:rPr>
      </w:pPr>
    </w:p>
    <w:p w14:paraId="4AC6A221" w14:textId="77777777" w:rsidR="009E3B37" w:rsidRPr="00C00521" w:rsidRDefault="009E3B37" w:rsidP="00D511FD">
      <w:pPr>
        <w:pStyle w:val="Heading1"/>
      </w:pPr>
      <w:bookmarkStart w:id="20" w:name="_Toc489256253"/>
      <w:r w:rsidRPr="00C00521">
        <w:lastRenderedPageBreak/>
        <w:t>AERMAP</w:t>
      </w:r>
      <w:bookmarkEnd w:id="20"/>
    </w:p>
    <w:p w14:paraId="414697F7" w14:textId="77777777" w:rsidR="00D65215" w:rsidRDefault="00A37750" w:rsidP="009E3B37">
      <w:pPr>
        <w:rPr>
          <w:sz w:val="24"/>
          <w:szCs w:val="24"/>
        </w:rPr>
      </w:pPr>
      <w:r w:rsidRPr="00C00521">
        <w:rPr>
          <w:sz w:val="24"/>
          <w:szCs w:val="24"/>
        </w:rPr>
        <w:t xml:space="preserve">AERMAP </w:t>
      </w:r>
      <w:r w:rsidR="00D65215" w:rsidRPr="00C00521">
        <w:rPr>
          <w:sz w:val="24"/>
          <w:szCs w:val="24"/>
        </w:rPr>
        <w:t>calculates</w:t>
      </w:r>
      <w:r w:rsidR="007256C4" w:rsidRPr="00C00521">
        <w:rPr>
          <w:sz w:val="24"/>
          <w:szCs w:val="24"/>
        </w:rPr>
        <w:t xml:space="preserve"> elevations </w:t>
      </w:r>
      <w:r w:rsidR="00D65215" w:rsidRPr="00C00521">
        <w:rPr>
          <w:sz w:val="24"/>
          <w:szCs w:val="24"/>
        </w:rPr>
        <w:t>using</w:t>
      </w:r>
      <w:r w:rsidR="007256C4" w:rsidRPr="00C00521">
        <w:rPr>
          <w:sz w:val="24"/>
          <w:szCs w:val="24"/>
        </w:rPr>
        <w:t xml:space="preserve"> either </w:t>
      </w:r>
      <w:r w:rsidRPr="00C00521">
        <w:rPr>
          <w:sz w:val="24"/>
          <w:szCs w:val="24"/>
        </w:rPr>
        <w:t>USGS Digital Elevation Model (DEM) files or USGS National Elevation Dataset (NED) files.</w:t>
      </w:r>
      <w:r w:rsidR="007256C4" w:rsidRPr="00C00521">
        <w:rPr>
          <w:sz w:val="24"/>
          <w:szCs w:val="24"/>
        </w:rPr>
        <w:t xml:space="preserve">  DEM files are no longer supported by the USGS and should not be used in a modeling </w:t>
      </w:r>
      <w:r w:rsidR="00D65215" w:rsidRPr="00C00521">
        <w:rPr>
          <w:sz w:val="24"/>
          <w:szCs w:val="24"/>
        </w:rPr>
        <w:t>demonstration</w:t>
      </w:r>
      <w:r w:rsidR="007256C4" w:rsidRPr="00C00521">
        <w:rPr>
          <w:sz w:val="24"/>
          <w:szCs w:val="24"/>
        </w:rPr>
        <w:t xml:space="preserve">.  NED files are maintained by the USGS and all the data is in the public domain.  </w:t>
      </w:r>
      <w:r w:rsidR="00D65215" w:rsidRPr="00C00521">
        <w:rPr>
          <w:sz w:val="24"/>
          <w:szCs w:val="24"/>
        </w:rPr>
        <w:t xml:space="preserve">NED files for each </w:t>
      </w:r>
      <w:r w:rsidR="007F42C3" w:rsidRPr="00C00521">
        <w:rPr>
          <w:sz w:val="24"/>
          <w:szCs w:val="24"/>
        </w:rPr>
        <w:t>county</w:t>
      </w:r>
      <w:r w:rsidR="00D65215" w:rsidRPr="00C00521">
        <w:rPr>
          <w:sz w:val="24"/>
          <w:szCs w:val="24"/>
        </w:rPr>
        <w:t xml:space="preserve"> in Nebraska </w:t>
      </w:r>
      <w:r w:rsidR="003B3D0C" w:rsidRPr="00C00521">
        <w:rPr>
          <w:sz w:val="24"/>
          <w:szCs w:val="24"/>
        </w:rPr>
        <w:t>are available from the NDEQ</w:t>
      </w:r>
      <w:r w:rsidR="007F42C3" w:rsidRPr="00C00521">
        <w:rPr>
          <w:sz w:val="24"/>
          <w:szCs w:val="24"/>
        </w:rPr>
        <w:t xml:space="preserve">. </w:t>
      </w:r>
    </w:p>
    <w:p w14:paraId="4C40BF9D" w14:textId="77777777" w:rsidR="00142A30" w:rsidRPr="00C00521" w:rsidRDefault="00142A30" w:rsidP="009E3B37">
      <w:pPr>
        <w:rPr>
          <w:sz w:val="24"/>
          <w:szCs w:val="24"/>
        </w:rPr>
      </w:pPr>
    </w:p>
    <w:p w14:paraId="6B03BE8D" w14:textId="77777777" w:rsidR="00D65215" w:rsidRPr="00C00521" w:rsidRDefault="00D65215" w:rsidP="009E3B37">
      <w:pPr>
        <w:rPr>
          <w:sz w:val="24"/>
          <w:szCs w:val="24"/>
        </w:rPr>
      </w:pPr>
      <w:r w:rsidRPr="00C00521">
        <w:rPr>
          <w:sz w:val="24"/>
          <w:szCs w:val="24"/>
        </w:rPr>
        <w:t xml:space="preserve">Check the datum:  </w:t>
      </w:r>
      <w:r w:rsidR="007256C4" w:rsidRPr="00C00521">
        <w:rPr>
          <w:sz w:val="24"/>
          <w:szCs w:val="24"/>
        </w:rPr>
        <w:t xml:space="preserve">When updating a model that used DEM files in the past, care must be taken to ensure the datum is set correctly.  DEM files in Nebraska use the North American CONUS 1927 datum, and NED files use North American CONUS 1984 datum, which is </w:t>
      </w:r>
      <w:r w:rsidRPr="00C00521">
        <w:rPr>
          <w:sz w:val="24"/>
          <w:szCs w:val="24"/>
        </w:rPr>
        <w:t>equivalent</w:t>
      </w:r>
      <w:r w:rsidR="007256C4" w:rsidRPr="00C00521">
        <w:rPr>
          <w:sz w:val="24"/>
          <w:szCs w:val="24"/>
        </w:rPr>
        <w:t xml:space="preserve"> to WGS 1983 datum used </w:t>
      </w:r>
      <w:r w:rsidR="00EE2838" w:rsidRPr="00C00521">
        <w:rPr>
          <w:sz w:val="24"/>
          <w:szCs w:val="24"/>
        </w:rPr>
        <w:t>by</w:t>
      </w:r>
      <w:r w:rsidR="007256C4" w:rsidRPr="00C00521">
        <w:rPr>
          <w:sz w:val="24"/>
          <w:szCs w:val="24"/>
        </w:rPr>
        <w:t xml:space="preserve"> Google Earth.</w:t>
      </w:r>
    </w:p>
    <w:p w14:paraId="09B2233C" w14:textId="77777777" w:rsidR="00D65215" w:rsidRPr="00C00521" w:rsidRDefault="00D65215" w:rsidP="009E3B37">
      <w:pPr>
        <w:rPr>
          <w:sz w:val="24"/>
          <w:szCs w:val="24"/>
        </w:rPr>
      </w:pPr>
    </w:p>
    <w:p w14:paraId="11FE5997" w14:textId="77777777" w:rsidR="00A37750" w:rsidRPr="00C00521" w:rsidRDefault="00D65215" w:rsidP="009E3B37">
      <w:pPr>
        <w:rPr>
          <w:sz w:val="24"/>
          <w:szCs w:val="24"/>
        </w:rPr>
      </w:pPr>
      <w:r w:rsidRPr="00C00521">
        <w:rPr>
          <w:sz w:val="24"/>
          <w:szCs w:val="24"/>
        </w:rPr>
        <w:t xml:space="preserve">Check the UTM zone:  Most of Nebraska lies in UTM zone 14.  </w:t>
      </w:r>
      <w:r w:rsidR="003C3872" w:rsidRPr="00C00521">
        <w:rPr>
          <w:sz w:val="24"/>
          <w:szCs w:val="24"/>
        </w:rPr>
        <w:t>There are two counties in southeast Nebraska in zone 15 and the panhandle</w:t>
      </w:r>
      <w:r w:rsidR="003B3D0C" w:rsidRPr="00C00521">
        <w:rPr>
          <w:sz w:val="24"/>
          <w:szCs w:val="24"/>
        </w:rPr>
        <w:t xml:space="preserve"> area of</w:t>
      </w:r>
      <w:r w:rsidR="003C3872" w:rsidRPr="00C00521">
        <w:rPr>
          <w:sz w:val="24"/>
          <w:szCs w:val="24"/>
        </w:rPr>
        <w:t xml:space="preserve"> western Nebraska is in </w:t>
      </w:r>
      <w:r w:rsidR="003B3D0C" w:rsidRPr="00C00521">
        <w:rPr>
          <w:sz w:val="24"/>
          <w:szCs w:val="24"/>
        </w:rPr>
        <w:t xml:space="preserve">UTM </w:t>
      </w:r>
      <w:r w:rsidR="003C3872" w:rsidRPr="00C00521">
        <w:rPr>
          <w:sz w:val="24"/>
          <w:szCs w:val="24"/>
        </w:rPr>
        <w:t>zone 13.</w:t>
      </w:r>
    </w:p>
    <w:p w14:paraId="65BFB073" w14:textId="77777777" w:rsidR="00954DCE" w:rsidRPr="00C00521" w:rsidRDefault="00954DCE" w:rsidP="009E3B37">
      <w:pPr>
        <w:rPr>
          <w:sz w:val="24"/>
          <w:szCs w:val="24"/>
        </w:rPr>
      </w:pPr>
    </w:p>
    <w:p w14:paraId="05E10745" w14:textId="77777777" w:rsidR="00954DCE" w:rsidRPr="00C00521" w:rsidRDefault="00954DCE" w:rsidP="00954DCE">
      <w:pPr>
        <w:jc w:val="center"/>
        <w:rPr>
          <w:sz w:val="24"/>
          <w:szCs w:val="24"/>
        </w:rPr>
      </w:pPr>
      <w:r w:rsidRPr="00C00521">
        <w:rPr>
          <w:noProof/>
          <w:sz w:val="24"/>
          <w:szCs w:val="24"/>
        </w:rPr>
        <w:drawing>
          <wp:inline distT="0" distB="0" distL="0" distR="0" wp14:anchorId="79862EF6" wp14:editId="2BC48D80">
            <wp:extent cx="346710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S 2004_utm_us_zones.gif"/>
                    <pic:cNvPicPr/>
                  </pic:nvPicPr>
                  <pic:blipFill>
                    <a:blip r:embed="rId9">
                      <a:extLst>
                        <a:ext uri="{28A0092B-C50C-407E-A947-70E740481C1C}">
                          <a14:useLocalDpi xmlns:a14="http://schemas.microsoft.com/office/drawing/2010/main" val="0"/>
                        </a:ext>
                      </a:extLst>
                    </a:blip>
                    <a:stretch>
                      <a:fillRect/>
                    </a:stretch>
                  </pic:blipFill>
                  <pic:spPr>
                    <a:xfrm>
                      <a:off x="0" y="0"/>
                      <a:ext cx="3467100" cy="2628900"/>
                    </a:xfrm>
                    <a:prstGeom prst="rect">
                      <a:avLst/>
                    </a:prstGeom>
                  </pic:spPr>
                </pic:pic>
              </a:graphicData>
            </a:graphic>
          </wp:inline>
        </w:drawing>
      </w:r>
    </w:p>
    <w:p w14:paraId="24E08D3A" w14:textId="77777777" w:rsidR="009E3B37" w:rsidRPr="00C00521" w:rsidRDefault="009E3B37" w:rsidP="00D511FD">
      <w:pPr>
        <w:pStyle w:val="Heading1"/>
      </w:pPr>
      <w:bookmarkStart w:id="21" w:name="_Toc489256254"/>
      <w:r w:rsidRPr="00C00521">
        <w:t>Meteorological Data</w:t>
      </w:r>
      <w:bookmarkEnd w:id="21"/>
    </w:p>
    <w:p w14:paraId="5596B586" w14:textId="77777777" w:rsidR="009E3B37" w:rsidRPr="00C00521" w:rsidRDefault="009E3B37" w:rsidP="009E3B37">
      <w:pPr>
        <w:rPr>
          <w:sz w:val="24"/>
          <w:szCs w:val="24"/>
        </w:rPr>
      </w:pPr>
      <w:r w:rsidRPr="00C00521">
        <w:rPr>
          <w:sz w:val="24"/>
          <w:szCs w:val="24"/>
        </w:rPr>
        <w:t xml:space="preserve">The Department will supply appropriate </w:t>
      </w:r>
      <w:r w:rsidR="006213C2" w:rsidRPr="00C00521">
        <w:rPr>
          <w:sz w:val="24"/>
          <w:szCs w:val="24"/>
        </w:rPr>
        <w:t>m</w:t>
      </w:r>
      <w:r w:rsidRPr="00C00521">
        <w:rPr>
          <w:sz w:val="24"/>
          <w:szCs w:val="24"/>
        </w:rPr>
        <w:t xml:space="preserve">eteorological files.  The protocol </w:t>
      </w:r>
      <w:r w:rsidR="00F80B73" w:rsidRPr="00C00521">
        <w:rPr>
          <w:sz w:val="24"/>
          <w:szCs w:val="24"/>
        </w:rPr>
        <w:t>should list</w:t>
      </w:r>
      <w:r w:rsidRPr="00C00521">
        <w:rPr>
          <w:sz w:val="24"/>
          <w:szCs w:val="24"/>
        </w:rPr>
        <w:t xml:space="preserve"> the </w:t>
      </w:r>
      <w:r w:rsidR="006213C2" w:rsidRPr="00C00521">
        <w:rPr>
          <w:sz w:val="24"/>
          <w:szCs w:val="24"/>
        </w:rPr>
        <w:t xml:space="preserve">meteorological years, surface air location, and the versions of </w:t>
      </w:r>
      <w:r w:rsidRPr="00C00521">
        <w:rPr>
          <w:sz w:val="24"/>
          <w:szCs w:val="24"/>
        </w:rPr>
        <w:t xml:space="preserve">AERMET, </w:t>
      </w:r>
      <w:r w:rsidR="00CC1A5C" w:rsidRPr="00C00521">
        <w:rPr>
          <w:sz w:val="24"/>
          <w:szCs w:val="24"/>
        </w:rPr>
        <w:t>AERSURFACE</w:t>
      </w:r>
      <w:r w:rsidRPr="00C00521">
        <w:rPr>
          <w:sz w:val="24"/>
          <w:szCs w:val="24"/>
        </w:rPr>
        <w:t xml:space="preserve">, </w:t>
      </w:r>
      <w:r w:rsidR="0039036E" w:rsidRPr="00C00521">
        <w:rPr>
          <w:sz w:val="24"/>
          <w:szCs w:val="24"/>
        </w:rPr>
        <w:t>and AERMINUTE</w:t>
      </w:r>
      <w:r w:rsidRPr="00C00521">
        <w:rPr>
          <w:sz w:val="24"/>
          <w:szCs w:val="24"/>
        </w:rPr>
        <w:t xml:space="preserve"> </w:t>
      </w:r>
      <w:r w:rsidR="006213C2" w:rsidRPr="00C00521">
        <w:rPr>
          <w:sz w:val="24"/>
          <w:szCs w:val="24"/>
        </w:rPr>
        <w:t>used to process the data by the NDEQ.</w:t>
      </w:r>
    </w:p>
    <w:p w14:paraId="11BEAC26" w14:textId="77777777" w:rsidR="00B953E3" w:rsidRDefault="00B953E3" w:rsidP="00B953E3">
      <w:pPr>
        <w:pStyle w:val="Heading1"/>
        <w:spacing w:before="0"/>
      </w:pPr>
    </w:p>
    <w:p w14:paraId="5ADEF8CE" w14:textId="77777777" w:rsidR="009E3B37" w:rsidRPr="00C00521" w:rsidRDefault="009E3B37" w:rsidP="00B953E3">
      <w:pPr>
        <w:pStyle w:val="Heading1"/>
        <w:spacing w:before="0"/>
      </w:pPr>
      <w:bookmarkStart w:id="22" w:name="_Toc489256255"/>
      <w:r w:rsidRPr="00C00521">
        <w:t>Background Concentrations</w:t>
      </w:r>
      <w:bookmarkEnd w:id="22"/>
    </w:p>
    <w:p w14:paraId="36FBF038" w14:textId="77777777" w:rsidR="009E3B37" w:rsidRPr="00C00521" w:rsidRDefault="006A7497" w:rsidP="009E3B37">
      <w:pPr>
        <w:rPr>
          <w:sz w:val="24"/>
          <w:szCs w:val="24"/>
        </w:rPr>
      </w:pPr>
      <w:r w:rsidRPr="00C00521">
        <w:rPr>
          <w:sz w:val="24"/>
          <w:szCs w:val="24"/>
        </w:rPr>
        <w:t>The Department will supply appropriate background concentrations.</w:t>
      </w:r>
    </w:p>
    <w:p w14:paraId="7A3B7812" w14:textId="77777777" w:rsidR="00821399" w:rsidRPr="00C00521" w:rsidRDefault="00821399">
      <w:pPr>
        <w:rPr>
          <w:sz w:val="24"/>
          <w:szCs w:val="24"/>
        </w:rPr>
      </w:pPr>
    </w:p>
    <w:p w14:paraId="567A41AD" w14:textId="77777777" w:rsidR="006D79AC" w:rsidRPr="00C00521" w:rsidRDefault="0088519E" w:rsidP="00B953E3">
      <w:pPr>
        <w:pStyle w:val="Heading1"/>
        <w:spacing w:before="0"/>
      </w:pPr>
      <w:bookmarkStart w:id="23" w:name="_Toc489256256"/>
      <w:r w:rsidRPr="00C00521">
        <w:t xml:space="preserve">Modeled </w:t>
      </w:r>
      <w:r w:rsidR="006A7497" w:rsidRPr="00C00521">
        <w:t>Exceedance</w:t>
      </w:r>
      <w:r w:rsidRPr="00C00521">
        <w:t>s</w:t>
      </w:r>
      <w:bookmarkEnd w:id="23"/>
    </w:p>
    <w:p w14:paraId="2B365C7F" w14:textId="77777777" w:rsidR="00022FA5" w:rsidRPr="00C00521" w:rsidRDefault="006A7497" w:rsidP="00022FA5">
      <w:pPr>
        <w:autoSpaceDE w:val="0"/>
        <w:autoSpaceDN w:val="0"/>
        <w:adjustRightInd w:val="0"/>
        <w:rPr>
          <w:sz w:val="24"/>
          <w:szCs w:val="24"/>
        </w:rPr>
      </w:pPr>
      <w:r w:rsidRPr="00C00521">
        <w:rPr>
          <w:sz w:val="24"/>
          <w:szCs w:val="24"/>
        </w:rPr>
        <w:t xml:space="preserve">When the model predicts an exceedance of a </w:t>
      </w:r>
      <w:r w:rsidR="0039036E" w:rsidRPr="00C00521">
        <w:rPr>
          <w:sz w:val="24"/>
          <w:szCs w:val="24"/>
        </w:rPr>
        <w:t>NAAQS</w:t>
      </w:r>
      <w:r w:rsidRPr="00C00521">
        <w:rPr>
          <w:sz w:val="24"/>
          <w:szCs w:val="24"/>
        </w:rPr>
        <w:t xml:space="preserve">, </w:t>
      </w:r>
      <w:r w:rsidR="00022FA5" w:rsidRPr="00C00521">
        <w:rPr>
          <w:sz w:val="24"/>
          <w:szCs w:val="24"/>
        </w:rPr>
        <w:t xml:space="preserve">a </w:t>
      </w:r>
      <w:r w:rsidR="00CC1A5C" w:rsidRPr="00C00521">
        <w:rPr>
          <w:sz w:val="24"/>
          <w:szCs w:val="24"/>
        </w:rPr>
        <w:t>culpability</w:t>
      </w:r>
      <w:r w:rsidR="00022FA5" w:rsidRPr="00C00521">
        <w:rPr>
          <w:sz w:val="24"/>
          <w:szCs w:val="24"/>
        </w:rPr>
        <w:t xml:space="preserve"> analysis can </w:t>
      </w:r>
      <w:r w:rsidRPr="00C00521">
        <w:rPr>
          <w:sz w:val="24"/>
          <w:szCs w:val="24"/>
        </w:rPr>
        <w:t>determine if this exceedance is due to emissions from the proposed project or if the exceedance is due to emis</w:t>
      </w:r>
      <w:r w:rsidR="00022FA5" w:rsidRPr="00C00521">
        <w:rPr>
          <w:sz w:val="24"/>
          <w:szCs w:val="24"/>
        </w:rPr>
        <w:t xml:space="preserve">sions from a nearby facility. </w:t>
      </w:r>
      <w:r w:rsidR="00F8778C" w:rsidRPr="00C00521">
        <w:rPr>
          <w:sz w:val="24"/>
          <w:szCs w:val="24"/>
        </w:rPr>
        <w:t xml:space="preserve"> It is n</w:t>
      </w:r>
      <w:r w:rsidR="00E45FF6" w:rsidRPr="00C00521">
        <w:rPr>
          <w:sz w:val="24"/>
          <w:szCs w:val="24"/>
        </w:rPr>
        <w:t xml:space="preserve">ever </w:t>
      </w:r>
      <w:r w:rsidR="00F8778C" w:rsidRPr="00C00521">
        <w:rPr>
          <w:sz w:val="24"/>
          <w:szCs w:val="24"/>
        </w:rPr>
        <w:t xml:space="preserve">appropriate to delete receptors </w:t>
      </w:r>
      <w:r w:rsidR="00E45FF6" w:rsidRPr="00C00521">
        <w:rPr>
          <w:sz w:val="24"/>
          <w:szCs w:val="24"/>
        </w:rPr>
        <w:t>when preforming a</w:t>
      </w:r>
      <w:r w:rsidR="00F8778C" w:rsidRPr="00C00521">
        <w:rPr>
          <w:sz w:val="24"/>
          <w:szCs w:val="24"/>
        </w:rPr>
        <w:t xml:space="preserve"> </w:t>
      </w:r>
      <w:r w:rsidR="00CC1A5C" w:rsidRPr="00C00521">
        <w:rPr>
          <w:sz w:val="24"/>
          <w:szCs w:val="24"/>
        </w:rPr>
        <w:t>culpability</w:t>
      </w:r>
      <w:r w:rsidR="00F8778C" w:rsidRPr="00C00521">
        <w:rPr>
          <w:sz w:val="24"/>
          <w:szCs w:val="24"/>
        </w:rPr>
        <w:t xml:space="preserve"> analysis.</w:t>
      </w:r>
    </w:p>
    <w:p w14:paraId="5F873506" w14:textId="77777777" w:rsidR="00022FA5" w:rsidRPr="00C00521" w:rsidRDefault="00022FA5" w:rsidP="006A7497">
      <w:pPr>
        <w:rPr>
          <w:sz w:val="24"/>
          <w:szCs w:val="24"/>
        </w:rPr>
      </w:pPr>
    </w:p>
    <w:p w14:paraId="610A0C8E" w14:textId="77777777" w:rsidR="006A7497" w:rsidRPr="00C00521" w:rsidRDefault="00942779" w:rsidP="006A7497">
      <w:pPr>
        <w:rPr>
          <w:sz w:val="24"/>
          <w:szCs w:val="24"/>
        </w:rPr>
      </w:pPr>
      <w:r w:rsidRPr="00C00521">
        <w:rPr>
          <w:sz w:val="24"/>
          <w:szCs w:val="24"/>
        </w:rPr>
        <w:lastRenderedPageBreak/>
        <w:t xml:space="preserve">The purpose of a culpability </w:t>
      </w:r>
      <w:r w:rsidR="00612DF4" w:rsidRPr="00C00521">
        <w:rPr>
          <w:sz w:val="24"/>
          <w:szCs w:val="24"/>
        </w:rPr>
        <w:t>analysis</w:t>
      </w:r>
      <w:r w:rsidRPr="00C00521">
        <w:rPr>
          <w:sz w:val="24"/>
          <w:szCs w:val="24"/>
        </w:rPr>
        <w:t xml:space="preserve"> </w:t>
      </w:r>
      <w:r w:rsidR="00A654CC" w:rsidRPr="00C00521">
        <w:rPr>
          <w:sz w:val="24"/>
          <w:szCs w:val="24"/>
        </w:rPr>
        <w:t xml:space="preserve">is </w:t>
      </w:r>
      <w:r w:rsidRPr="00C00521">
        <w:rPr>
          <w:sz w:val="24"/>
          <w:szCs w:val="24"/>
        </w:rPr>
        <w:t xml:space="preserve">to </w:t>
      </w:r>
      <w:r w:rsidR="00612DF4" w:rsidRPr="00C00521">
        <w:rPr>
          <w:sz w:val="24"/>
          <w:szCs w:val="24"/>
        </w:rPr>
        <w:t>demonstrate</w:t>
      </w:r>
      <w:r w:rsidRPr="00C00521">
        <w:rPr>
          <w:sz w:val="24"/>
          <w:szCs w:val="24"/>
        </w:rPr>
        <w:t xml:space="preserve"> </w:t>
      </w:r>
      <w:r w:rsidR="003B3D0C" w:rsidRPr="00C00521">
        <w:rPr>
          <w:sz w:val="24"/>
          <w:szCs w:val="24"/>
        </w:rPr>
        <w:t xml:space="preserve">whether or not </w:t>
      </w:r>
      <w:r w:rsidRPr="00C00521">
        <w:rPr>
          <w:sz w:val="24"/>
          <w:szCs w:val="24"/>
        </w:rPr>
        <w:t>the facility's contribution to a</w:t>
      </w:r>
      <w:r w:rsidR="004772F8">
        <w:rPr>
          <w:sz w:val="24"/>
          <w:szCs w:val="24"/>
        </w:rPr>
        <w:t xml:space="preserve"> </w:t>
      </w:r>
      <w:r w:rsidR="00142A30">
        <w:rPr>
          <w:sz w:val="24"/>
          <w:szCs w:val="24"/>
        </w:rPr>
        <w:t xml:space="preserve">PSD increment or </w:t>
      </w:r>
      <w:r w:rsidR="004772F8">
        <w:rPr>
          <w:sz w:val="24"/>
          <w:szCs w:val="24"/>
        </w:rPr>
        <w:t>NAAQS</w:t>
      </w:r>
      <w:r w:rsidR="00EB2AED">
        <w:rPr>
          <w:sz w:val="24"/>
          <w:szCs w:val="24"/>
        </w:rPr>
        <w:t xml:space="preserve"> </w:t>
      </w:r>
      <w:r w:rsidR="0078174E" w:rsidRPr="00C00521">
        <w:rPr>
          <w:sz w:val="24"/>
          <w:szCs w:val="24"/>
        </w:rPr>
        <w:t xml:space="preserve">exceedance </w:t>
      </w:r>
      <w:r w:rsidR="008572E4">
        <w:rPr>
          <w:sz w:val="24"/>
          <w:szCs w:val="24"/>
        </w:rPr>
        <w:t xml:space="preserve">at a receptor </w:t>
      </w:r>
      <w:r w:rsidRPr="00C00521">
        <w:rPr>
          <w:sz w:val="24"/>
          <w:szCs w:val="24"/>
        </w:rPr>
        <w:t xml:space="preserve">is below the SIL </w:t>
      </w:r>
      <w:r w:rsidR="00142A30">
        <w:rPr>
          <w:sz w:val="24"/>
          <w:szCs w:val="24"/>
        </w:rPr>
        <w:t xml:space="preserve">concentration </w:t>
      </w:r>
      <w:r w:rsidRPr="00C00521">
        <w:rPr>
          <w:sz w:val="24"/>
          <w:szCs w:val="24"/>
        </w:rPr>
        <w:t>for that pollutant and averaging period</w:t>
      </w:r>
      <w:r w:rsidR="008572E4">
        <w:rPr>
          <w:sz w:val="24"/>
          <w:szCs w:val="24"/>
        </w:rPr>
        <w:t xml:space="preserve"> at that receptor</w:t>
      </w:r>
      <w:r w:rsidR="0039036E" w:rsidRPr="00C00521">
        <w:rPr>
          <w:sz w:val="24"/>
          <w:szCs w:val="24"/>
        </w:rPr>
        <w:t xml:space="preserve">.  </w:t>
      </w:r>
      <w:r w:rsidR="004719A0" w:rsidRPr="00C00521">
        <w:rPr>
          <w:sz w:val="24"/>
          <w:szCs w:val="24"/>
        </w:rPr>
        <w:t xml:space="preserve">This can be accomplished using source groups, MAXFILE, EVENT file processing, or the MAXDCONT option available in AERMOD.  </w:t>
      </w:r>
      <w:r w:rsidR="006A7497" w:rsidRPr="00C00521">
        <w:rPr>
          <w:sz w:val="24"/>
          <w:szCs w:val="24"/>
        </w:rPr>
        <w:t xml:space="preserve">If the proposed project </w:t>
      </w:r>
      <w:r w:rsidR="0078174E" w:rsidRPr="00C00521">
        <w:rPr>
          <w:sz w:val="24"/>
          <w:szCs w:val="24"/>
        </w:rPr>
        <w:t xml:space="preserve">does not significantly </w:t>
      </w:r>
      <w:r w:rsidR="006A7497" w:rsidRPr="00C00521">
        <w:rPr>
          <w:sz w:val="24"/>
          <w:szCs w:val="24"/>
        </w:rPr>
        <w:t>contribut</w:t>
      </w:r>
      <w:r w:rsidR="0078174E" w:rsidRPr="00C00521">
        <w:rPr>
          <w:sz w:val="24"/>
          <w:szCs w:val="24"/>
        </w:rPr>
        <w:t xml:space="preserve">e </w:t>
      </w:r>
      <w:r w:rsidR="006A7497" w:rsidRPr="00C00521">
        <w:rPr>
          <w:sz w:val="24"/>
          <w:szCs w:val="24"/>
        </w:rPr>
        <w:t xml:space="preserve">to the </w:t>
      </w:r>
      <w:r w:rsidR="0078174E" w:rsidRPr="00C00521">
        <w:rPr>
          <w:sz w:val="24"/>
          <w:szCs w:val="24"/>
        </w:rPr>
        <w:t>exceedance</w:t>
      </w:r>
      <w:r w:rsidR="006A7497" w:rsidRPr="00C00521">
        <w:rPr>
          <w:sz w:val="24"/>
          <w:szCs w:val="24"/>
        </w:rPr>
        <w:t xml:space="preserve"> (</w:t>
      </w:r>
      <w:r w:rsidR="0078174E" w:rsidRPr="00C00521">
        <w:rPr>
          <w:sz w:val="24"/>
          <w:szCs w:val="24"/>
        </w:rPr>
        <w:t xml:space="preserve">it </w:t>
      </w:r>
      <w:r w:rsidR="006A7497" w:rsidRPr="00C00521">
        <w:rPr>
          <w:sz w:val="24"/>
          <w:szCs w:val="24"/>
        </w:rPr>
        <w:t xml:space="preserve">is less than or equal to the SIL) then the proposed project does not contribute to the predicted </w:t>
      </w:r>
      <w:r w:rsidR="00142A30">
        <w:rPr>
          <w:sz w:val="24"/>
          <w:szCs w:val="24"/>
        </w:rPr>
        <w:t xml:space="preserve">PSD increment or </w:t>
      </w:r>
      <w:r w:rsidR="008572E4">
        <w:rPr>
          <w:sz w:val="24"/>
          <w:szCs w:val="24"/>
        </w:rPr>
        <w:t xml:space="preserve">NAAQS </w:t>
      </w:r>
      <w:r w:rsidR="006A7497" w:rsidRPr="00C00521">
        <w:rPr>
          <w:sz w:val="24"/>
          <w:szCs w:val="24"/>
        </w:rPr>
        <w:t xml:space="preserve">exceedance.  Document this analysis in the final modeling report.  However, if it is demonstrated that the proposed facility or modification of an existing facility contributes impacts above the SIL, then additional control technology may be required to demonstrate compliance with the </w:t>
      </w:r>
      <w:r w:rsidR="00142A30">
        <w:rPr>
          <w:sz w:val="24"/>
          <w:szCs w:val="24"/>
        </w:rPr>
        <w:t>PSD increment or</w:t>
      </w:r>
      <w:r w:rsidR="00142A30" w:rsidRPr="00C00521">
        <w:rPr>
          <w:sz w:val="24"/>
          <w:szCs w:val="24"/>
        </w:rPr>
        <w:t xml:space="preserve"> </w:t>
      </w:r>
      <w:r w:rsidR="00142A30">
        <w:rPr>
          <w:sz w:val="24"/>
          <w:szCs w:val="24"/>
        </w:rPr>
        <w:t>NAAQS.</w:t>
      </w:r>
      <w:r w:rsidR="004772F8">
        <w:rPr>
          <w:sz w:val="24"/>
          <w:szCs w:val="24"/>
        </w:rPr>
        <w:t xml:space="preserve">  </w:t>
      </w:r>
    </w:p>
    <w:p w14:paraId="59909A92" w14:textId="77777777" w:rsidR="007D0011" w:rsidRPr="00C00521" w:rsidRDefault="007D0011">
      <w:pPr>
        <w:rPr>
          <w:sz w:val="24"/>
          <w:szCs w:val="24"/>
        </w:rPr>
      </w:pPr>
    </w:p>
    <w:p w14:paraId="1B86BDF7" w14:textId="77777777" w:rsidR="006D79AC" w:rsidRPr="00C00521" w:rsidRDefault="0088519E" w:rsidP="00B953E3">
      <w:pPr>
        <w:pStyle w:val="Heading1"/>
        <w:spacing w:before="0"/>
      </w:pPr>
      <w:bookmarkStart w:id="24" w:name="_Toc489256257"/>
      <w:r w:rsidRPr="00C00521">
        <w:t>Modeling Data Submittal</w:t>
      </w:r>
      <w:bookmarkEnd w:id="24"/>
    </w:p>
    <w:p w14:paraId="1B3267ED" w14:textId="77777777" w:rsidR="0038726C" w:rsidRPr="00C00521" w:rsidRDefault="00E32FF9" w:rsidP="00E32FF9">
      <w:pPr>
        <w:rPr>
          <w:sz w:val="24"/>
          <w:szCs w:val="24"/>
        </w:rPr>
      </w:pPr>
      <w:r w:rsidRPr="00C00521">
        <w:rPr>
          <w:sz w:val="24"/>
          <w:szCs w:val="24"/>
        </w:rPr>
        <w:t xml:space="preserve">On a </w:t>
      </w:r>
      <w:r w:rsidR="000E29C9" w:rsidRPr="00C00521">
        <w:rPr>
          <w:sz w:val="24"/>
          <w:szCs w:val="24"/>
        </w:rPr>
        <w:t>write</w:t>
      </w:r>
      <w:r w:rsidR="007D0011">
        <w:rPr>
          <w:sz w:val="24"/>
          <w:szCs w:val="24"/>
        </w:rPr>
        <w:t>-</w:t>
      </w:r>
      <w:r w:rsidR="000E29C9" w:rsidRPr="00C00521">
        <w:rPr>
          <w:sz w:val="24"/>
          <w:szCs w:val="24"/>
        </w:rPr>
        <w:t xml:space="preserve">protected </w:t>
      </w:r>
      <w:r w:rsidRPr="00C00521">
        <w:rPr>
          <w:sz w:val="24"/>
          <w:szCs w:val="24"/>
        </w:rPr>
        <w:t xml:space="preserve">DVD, </w:t>
      </w:r>
      <w:r w:rsidR="00C342DE" w:rsidRPr="00C00521">
        <w:rPr>
          <w:sz w:val="24"/>
          <w:szCs w:val="24"/>
        </w:rPr>
        <w:t xml:space="preserve">submit to the Department for review all of the final modeling files used to </w:t>
      </w:r>
      <w:r w:rsidR="00F8778C" w:rsidRPr="00C00521">
        <w:rPr>
          <w:sz w:val="24"/>
          <w:szCs w:val="24"/>
        </w:rPr>
        <w:t>demonstrate</w:t>
      </w:r>
      <w:r w:rsidR="00C342DE" w:rsidRPr="00C00521">
        <w:rPr>
          <w:sz w:val="24"/>
          <w:szCs w:val="24"/>
        </w:rPr>
        <w:t xml:space="preserve"> </w:t>
      </w:r>
      <w:r w:rsidR="007D0011">
        <w:rPr>
          <w:sz w:val="24"/>
          <w:szCs w:val="24"/>
        </w:rPr>
        <w:t xml:space="preserve">that proposed </w:t>
      </w:r>
      <w:r w:rsidR="00C342DE" w:rsidRPr="00C00521">
        <w:rPr>
          <w:sz w:val="24"/>
          <w:szCs w:val="24"/>
        </w:rPr>
        <w:t xml:space="preserve">permit conditions will not cause </w:t>
      </w:r>
      <w:r w:rsidR="0039036E" w:rsidRPr="00C00521">
        <w:rPr>
          <w:sz w:val="24"/>
          <w:szCs w:val="24"/>
        </w:rPr>
        <w:t>an</w:t>
      </w:r>
      <w:r w:rsidR="00C342DE" w:rsidRPr="00C00521">
        <w:rPr>
          <w:sz w:val="24"/>
          <w:szCs w:val="24"/>
        </w:rPr>
        <w:t xml:space="preserve"> </w:t>
      </w:r>
      <w:r w:rsidR="006A7497" w:rsidRPr="00C00521">
        <w:rPr>
          <w:sz w:val="24"/>
          <w:szCs w:val="24"/>
        </w:rPr>
        <w:t>exceedance</w:t>
      </w:r>
      <w:r w:rsidR="00C342DE" w:rsidRPr="00C00521">
        <w:rPr>
          <w:sz w:val="24"/>
          <w:szCs w:val="24"/>
        </w:rPr>
        <w:t xml:space="preserve"> of the NAAQS or PSD </w:t>
      </w:r>
      <w:r w:rsidR="0066670E" w:rsidRPr="00C00521">
        <w:rPr>
          <w:sz w:val="24"/>
          <w:szCs w:val="24"/>
        </w:rPr>
        <w:t>Increments</w:t>
      </w:r>
      <w:r w:rsidR="00C342DE" w:rsidRPr="00C00521">
        <w:rPr>
          <w:sz w:val="24"/>
          <w:szCs w:val="24"/>
        </w:rPr>
        <w:t xml:space="preserve">.  This submission should </w:t>
      </w:r>
      <w:r w:rsidRPr="00C00521">
        <w:rPr>
          <w:sz w:val="24"/>
          <w:szCs w:val="24"/>
        </w:rPr>
        <w:t xml:space="preserve">include </w:t>
      </w:r>
      <w:r w:rsidR="0038726C" w:rsidRPr="00C00521">
        <w:rPr>
          <w:sz w:val="24"/>
          <w:szCs w:val="24"/>
        </w:rPr>
        <w:t>a copy of the</w:t>
      </w:r>
      <w:r w:rsidRPr="00C00521">
        <w:rPr>
          <w:sz w:val="24"/>
          <w:szCs w:val="24"/>
        </w:rPr>
        <w:t xml:space="preserve"> approved protocol, final modeling report, and </w:t>
      </w:r>
      <w:r w:rsidR="00821399" w:rsidRPr="00C00521">
        <w:rPr>
          <w:sz w:val="24"/>
          <w:szCs w:val="24"/>
        </w:rPr>
        <w:t xml:space="preserve">a complete set of all </w:t>
      </w:r>
      <w:r w:rsidRPr="00C00521">
        <w:rPr>
          <w:sz w:val="24"/>
          <w:szCs w:val="24"/>
        </w:rPr>
        <w:t xml:space="preserve">modeling files </w:t>
      </w:r>
      <w:r w:rsidR="00C342DE" w:rsidRPr="00C00521">
        <w:rPr>
          <w:sz w:val="24"/>
          <w:szCs w:val="24"/>
        </w:rPr>
        <w:t xml:space="preserve">including all input, output, plot or graphics files, </w:t>
      </w:r>
      <w:r w:rsidR="00821399" w:rsidRPr="00C00521">
        <w:rPr>
          <w:sz w:val="24"/>
          <w:szCs w:val="24"/>
        </w:rPr>
        <w:t>building downwash</w:t>
      </w:r>
      <w:r w:rsidR="00C342DE" w:rsidRPr="00C00521">
        <w:rPr>
          <w:sz w:val="24"/>
          <w:szCs w:val="24"/>
        </w:rPr>
        <w:t xml:space="preserve"> files, </w:t>
      </w:r>
      <w:r w:rsidR="00821399" w:rsidRPr="00C00521">
        <w:rPr>
          <w:sz w:val="24"/>
          <w:szCs w:val="24"/>
        </w:rPr>
        <w:t xml:space="preserve">USGS </w:t>
      </w:r>
      <w:r w:rsidR="00C342DE" w:rsidRPr="00C00521">
        <w:rPr>
          <w:sz w:val="24"/>
          <w:szCs w:val="24"/>
        </w:rPr>
        <w:t xml:space="preserve">terrain files </w:t>
      </w:r>
      <w:r w:rsidR="00F8778C" w:rsidRPr="00C00521">
        <w:rPr>
          <w:sz w:val="24"/>
          <w:szCs w:val="24"/>
        </w:rPr>
        <w:t>and</w:t>
      </w:r>
      <w:r w:rsidR="00C342DE" w:rsidRPr="00C00521">
        <w:rPr>
          <w:sz w:val="24"/>
          <w:szCs w:val="24"/>
        </w:rPr>
        <w:t xml:space="preserve"> copies of the </w:t>
      </w:r>
      <w:r w:rsidR="00821399" w:rsidRPr="00C00521">
        <w:rPr>
          <w:sz w:val="24"/>
          <w:szCs w:val="24"/>
        </w:rPr>
        <w:t xml:space="preserve">nearby list and </w:t>
      </w:r>
      <w:r w:rsidR="00C342DE" w:rsidRPr="00C00521">
        <w:rPr>
          <w:sz w:val="24"/>
          <w:szCs w:val="24"/>
        </w:rPr>
        <w:t>meteorological data obtained from the NDEQ.</w:t>
      </w:r>
    </w:p>
    <w:p w14:paraId="77C9B59A" w14:textId="77777777" w:rsidR="0038726C" w:rsidRPr="00C00521" w:rsidRDefault="0038726C" w:rsidP="00E32FF9">
      <w:pPr>
        <w:rPr>
          <w:sz w:val="24"/>
          <w:szCs w:val="24"/>
        </w:rPr>
      </w:pPr>
    </w:p>
    <w:p w14:paraId="1048D23B" w14:textId="77777777" w:rsidR="0038726C" w:rsidRPr="00C00521" w:rsidRDefault="0038726C" w:rsidP="00E32FF9">
      <w:pPr>
        <w:rPr>
          <w:sz w:val="24"/>
          <w:szCs w:val="24"/>
        </w:rPr>
      </w:pPr>
      <w:r w:rsidRPr="00C00521">
        <w:rPr>
          <w:sz w:val="24"/>
          <w:szCs w:val="24"/>
        </w:rPr>
        <w:t xml:space="preserve">The final modeling report should contain, when appropriate, </w:t>
      </w:r>
      <w:r w:rsidR="009C6668">
        <w:rPr>
          <w:sz w:val="24"/>
          <w:szCs w:val="24"/>
        </w:rPr>
        <w:t>the following</w:t>
      </w:r>
      <w:r w:rsidR="007D0011">
        <w:rPr>
          <w:sz w:val="24"/>
          <w:szCs w:val="24"/>
        </w:rPr>
        <w:t>:</w:t>
      </w:r>
    </w:p>
    <w:p w14:paraId="54B5C985" w14:textId="77777777" w:rsidR="00821399" w:rsidRPr="00C00521" w:rsidRDefault="00821399" w:rsidP="00821399">
      <w:pPr>
        <w:numPr>
          <w:ilvl w:val="0"/>
          <w:numId w:val="17"/>
        </w:numPr>
        <w:rPr>
          <w:sz w:val="24"/>
          <w:szCs w:val="24"/>
        </w:rPr>
      </w:pPr>
      <w:r w:rsidRPr="00C00521">
        <w:rPr>
          <w:sz w:val="24"/>
          <w:szCs w:val="24"/>
        </w:rPr>
        <w:t>table of modeled impacts including receptor location, elevation of receptor, concentrations, background and the applicable standard</w:t>
      </w:r>
    </w:p>
    <w:p w14:paraId="5D00D3F9" w14:textId="77777777" w:rsidR="001B0ED7" w:rsidRPr="00C00521" w:rsidRDefault="001B0ED7" w:rsidP="001B0ED7">
      <w:pPr>
        <w:numPr>
          <w:ilvl w:val="0"/>
          <w:numId w:val="17"/>
        </w:numPr>
        <w:rPr>
          <w:sz w:val="24"/>
          <w:szCs w:val="24"/>
        </w:rPr>
      </w:pPr>
      <w:r w:rsidRPr="00C00521">
        <w:rPr>
          <w:sz w:val="24"/>
          <w:szCs w:val="24"/>
        </w:rPr>
        <w:t>ambient air and in-stack ratios used in Tier 3 NOx analysis</w:t>
      </w:r>
    </w:p>
    <w:p w14:paraId="03D0DD70" w14:textId="77777777" w:rsidR="0038726C" w:rsidRPr="00C00521" w:rsidRDefault="0038726C" w:rsidP="00821399">
      <w:pPr>
        <w:numPr>
          <w:ilvl w:val="0"/>
          <w:numId w:val="16"/>
        </w:numPr>
        <w:rPr>
          <w:sz w:val="24"/>
          <w:szCs w:val="24"/>
        </w:rPr>
      </w:pPr>
      <w:r w:rsidRPr="00C00521">
        <w:rPr>
          <w:sz w:val="24"/>
          <w:szCs w:val="24"/>
        </w:rPr>
        <w:t>secondary PM</w:t>
      </w:r>
      <w:r w:rsidRPr="00C00521">
        <w:rPr>
          <w:sz w:val="24"/>
          <w:szCs w:val="24"/>
          <w:vertAlign w:val="subscript"/>
        </w:rPr>
        <w:t>2.5</w:t>
      </w:r>
      <w:r w:rsidRPr="00C00521">
        <w:rPr>
          <w:sz w:val="24"/>
          <w:szCs w:val="24"/>
        </w:rPr>
        <w:t xml:space="preserve"> formation</w:t>
      </w:r>
    </w:p>
    <w:p w14:paraId="7ECBCD54" w14:textId="77777777" w:rsidR="0038726C" w:rsidRPr="00C00521" w:rsidRDefault="00821399" w:rsidP="00821399">
      <w:pPr>
        <w:numPr>
          <w:ilvl w:val="0"/>
          <w:numId w:val="16"/>
        </w:numPr>
        <w:rPr>
          <w:sz w:val="24"/>
          <w:szCs w:val="24"/>
        </w:rPr>
      </w:pPr>
      <w:r w:rsidRPr="00C00521">
        <w:rPr>
          <w:sz w:val="24"/>
          <w:szCs w:val="24"/>
        </w:rPr>
        <w:t>beta option documentation satisfying 40 CFR Part 51, App. W, 3.2.2(e)(</w:t>
      </w:r>
      <w:proofErr w:type="spellStart"/>
      <w:r w:rsidRPr="00C00521">
        <w:rPr>
          <w:sz w:val="24"/>
          <w:szCs w:val="24"/>
        </w:rPr>
        <w:t>i</w:t>
      </w:r>
      <w:proofErr w:type="spellEnd"/>
      <w:r w:rsidRPr="00C00521">
        <w:rPr>
          <w:sz w:val="24"/>
          <w:szCs w:val="24"/>
        </w:rPr>
        <w:t>-v)</w:t>
      </w:r>
    </w:p>
    <w:p w14:paraId="6B90FFD5" w14:textId="77777777" w:rsidR="00E95133" w:rsidRDefault="0038726C" w:rsidP="00821399">
      <w:pPr>
        <w:numPr>
          <w:ilvl w:val="0"/>
          <w:numId w:val="16"/>
        </w:numPr>
        <w:rPr>
          <w:sz w:val="24"/>
          <w:szCs w:val="24"/>
        </w:rPr>
      </w:pPr>
      <w:r w:rsidRPr="00C00521">
        <w:rPr>
          <w:sz w:val="24"/>
          <w:szCs w:val="24"/>
        </w:rPr>
        <w:t>a facility plot plan with locations of all sources (point, volume, ar</w:t>
      </w:r>
      <w:r w:rsidR="00821399" w:rsidRPr="00C00521">
        <w:rPr>
          <w:sz w:val="24"/>
          <w:szCs w:val="24"/>
        </w:rPr>
        <w:t>ea, etc.), buildings, fence</w:t>
      </w:r>
      <w:r w:rsidR="007D0011">
        <w:rPr>
          <w:sz w:val="24"/>
          <w:szCs w:val="24"/>
        </w:rPr>
        <w:t xml:space="preserve"> </w:t>
      </w:r>
      <w:r w:rsidR="00821399" w:rsidRPr="00C00521">
        <w:rPr>
          <w:sz w:val="24"/>
          <w:szCs w:val="24"/>
        </w:rPr>
        <w:t>line</w:t>
      </w:r>
      <w:r w:rsidR="00C00521">
        <w:rPr>
          <w:sz w:val="24"/>
          <w:szCs w:val="24"/>
        </w:rPr>
        <w:t>,</w:t>
      </w:r>
      <w:r w:rsidRPr="00C00521">
        <w:rPr>
          <w:sz w:val="24"/>
          <w:szCs w:val="24"/>
        </w:rPr>
        <w:t xml:space="preserve"> </w:t>
      </w:r>
      <w:r w:rsidR="00821399" w:rsidRPr="00C00521">
        <w:rPr>
          <w:sz w:val="24"/>
          <w:szCs w:val="24"/>
        </w:rPr>
        <w:t>roads, surrounding terrain, locations of met tower, monitors</w:t>
      </w:r>
    </w:p>
    <w:p w14:paraId="34B37302" w14:textId="77777777" w:rsidR="0038726C" w:rsidRPr="00C00521" w:rsidRDefault="00E95133" w:rsidP="00E95133">
      <w:pPr>
        <w:numPr>
          <w:ilvl w:val="0"/>
          <w:numId w:val="16"/>
        </w:numPr>
        <w:rPr>
          <w:sz w:val="24"/>
          <w:szCs w:val="24"/>
        </w:rPr>
      </w:pPr>
      <w:r>
        <w:rPr>
          <w:sz w:val="24"/>
          <w:szCs w:val="24"/>
        </w:rPr>
        <w:t>a table of all emission units with the associated modeling parameters for point, volume and area sources</w:t>
      </w:r>
    </w:p>
    <w:p w14:paraId="634FEB77" w14:textId="77777777" w:rsidR="0038726C" w:rsidRPr="00C00521" w:rsidRDefault="0038726C" w:rsidP="00E32FF9">
      <w:pPr>
        <w:rPr>
          <w:sz w:val="24"/>
          <w:szCs w:val="24"/>
        </w:rPr>
      </w:pPr>
    </w:p>
    <w:p w14:paraId="0C0928F9" w14:textId="77777777" w:rsidR="006D5B11" w:rsidRPr="00C00521" w:rsidRDefault="006D5B11" w:rsidP="00E32FF9">
      <w:pPr>
        <w:rPr>
          <w:sz w:val="24"/>
          <w:szCs w:val="24"/>
        </w:rPr>
      </w:pPr>
    </w:p>
    <w:p w14:paraId="56758BC8" w14:textId="77777777" w:rsidR="006D5B11" w:rsidRPr="00C00521" w:rsidRDefault="006D5B11" w:rsidP="00E32FF9">
      <w:pPr>
        <w:rPr>
          <w:sz w:val="24"/>
          <w:szCs w:val="24"/>
        </w:rPr>
      </w:pPr>
    </w:p>
    <w:p w14:paraId="768061C0" w14:textId="77777777" w:rsidR="006D5B11" w:rsidRPr="00C00521" w:rsidRDefault="006D5B11" w:rsidP="00E32FF9">
      <w:pPr>
        <w:rPr>
          <w:sz w:val="24"/>
          <w:szCs w:val="24"/>
        </w:rPr>
      </w:pPr>
    </w:p>
    <w:p w14:paraId="36330ABF" w14:textId="77777777" w:rsidR="006D5B11" w:rsidRPr="00C00521" w:rsidRDefault="006D5B11" w:rsidP="00E32FF9">
      <w:pPr>
        <w:rPr>
          <w:sz w:val="24"/>
          <w:szCs w:val="24"/>
        </w:rPr>
      </w:pPr>
    </w:p>
    <w:p w14:paraId="5F300EF0" w14:textId="77777777" w:rsidR="00371AD1" w:rsidRPr="00C00521" w:rsidRDefault="00371AD1">
      <w:pPr>
        <w:rPr>
          <w:sz w:val="24"/>
          <w:szCs w:val="24"/>
        </w:rPr>
      </w:pPr>
    </w:p>
    <w:p w14:paraId="51B9E6F3" w14:textId="77777777" w:rsidR="00943548" w:rsidRDefault="00943548">
      <w:pPr>
        <w:rPr>
          <w:b/>
        </w:rPr>
      </w:pPr>
      <w:r>
        <w:rPr>
          <w:b/>
        </w:rPr>
        <w:br w:type="page"/>
      </w:r>
    </w:p>
    <w:p w14:paraId="63DDE958" w14:textId="77777777" w:rsidR="00371AD1" w:rsidRPr="00D511FD" w:rsidRDefault="00371AD1" w:rsidP="00D511FD">
      <w:pPr>
        <w:pStyle w:val="Heading1"/>
      </w:pPr>
      <w:bookmarkStart w:id="25" w:name="_Toc489256258"/>
      <w:r w:rsidRPr="00D511FD">
        <w:lastRenderedPageBreak/>
        <w:t>Appendix A</w:t>
      </w:r>
      <w:r w:rsidR="00D511FD">
        <w:t xml:space="preserve"> - </w:t>
      </w:r>
      <w:r w:rsidRPr="00D511FD">
        <w:t>Definitions</w:t>
      </w:r>
      <w:bookmarkEnd w:id="25"/>
    </w:p>
    <w:p w14:paraId="534DB27A" w14:textId="77777777" w:rsidR="0000780B" w:rsidRDefault="0000780B"/>
    <w:p w14:paraId="66C4E688" w14:textId="77777777" w:rsidR="00BF30D2" w:rsidRDefault="00BF30D2" w:rsidP="00BF30D2">
      <w:r w:rsidRPr="006B7683">
        <w:rPr>
          <w:b/>
        </w:rPr>
        <w:t>Actual emissions</w:t>
      </w:r>
      <w:r w:rsidR="00E95133">
        <w:rPr>
          <w:b/>
        </w:rPr>
        <w:t xml:space="preserve"> - </w:t>
      </w:r>
      <w:r w:rsidR="00E95133">
        <w:t>T</w:t>
      </w:r>
      <w:r>
        <w:t>he average</w:t>
      </w:r>
      <w:r w:rsidR="00364C6A">
        <w:t xml:space="preserve"> </w:t>
      </w:r>
      <w:r>
        <w:t xml:space="preserve">rate, in tons per year, at which the unit actually emitted the pollutant during </w:t>
      </w:r>
      <w:r w:rsidR="00CD6F3B">
        <w:t xml:space="preserve">the most </w:t>
      </w:r>
      <w:proofErr w:type="gramStart"/>
      <w:r w:rsidR="00CD6F3B">
        <w:t xml:space="preserve">recent </w:t>
      </w:r>
      <w:r w:rsidR="00364C6A">
        <w:t xml:space="preserve"> </w:t>
      </w:r>
      <w:r>
        <w:t>consecutive</w:t>
      </w:r>
      <w:proofErr w:type="gramEnd"/>
      <w:r>
        <w:t xml:space="preserve"> 24-month period which is</w:t>
      </w:r>
      <w:r w:rsidR="00364C6A">
        <w:t xml:space="preserve"> </w:t>
      </w:r>
      <w:r>
        <w:t>representative of normal source operation.</w:t>
      </w:r>
      <w:r w:rsidR="00364C6A">
        <w:t xml:space="preserve"> </w:t>
      </w:r>
      <w:r w:rsidR="00E95133">
        <w:t xml:space="preserve"> </w:t>
      </w:r>
      <w:r>
        <w:t>Actual emissions shall be calculated using the unit's actual</w:t>
      </w:r>
      <w:r w:rsidR="00364C6A">
        <w:t xml:space="preserve"> </w:t>
      </w:r>
      <w:r>
        <w:t>operating hours, production rates, existing control equipment, and types of</w:t>
      </w:r>
      <w:r w:rsidR="00364C6A">
        <w:t xml:space="preserve"> </w:t>
      </w:r>
      <w:r>
        <w:t>materials processed, stored, or combusted during the selected time period.</w:t>
      </w:r>
      <w:r w:rsidR="00364C6A">
        <w:t xml:space="preserve"> </w:t>
      </w:r>
      <w:r w:rsidR="00CE1C30">
        <w:t xml:space="preserve"> </w:t>
      </w:r>
      <w:r w:rsidR="00364C6A">
        <w:t>A</w:t>
      </w:r>
      <w:r>
        <w:t xml:space="preserve">ny emissions unit which has not begun normal operations shall </w:t>
      </w:r>
      <w:r w:rsidR="005850D6">
        <w:t xml:space="preserve">use </w:t>
      </w:r>
      <w:proofErr w:type="gramStart"/>
      <w:r w:rsidR="005850D6">
        <w:t xml:space="preserve">the </w:t>
      </w:r>
      <w:r>
        <w:t xml:space="preserve"> potential</w:t>
      </w:r>
      <w:proofErr w:type="gramEnd"/>
      <w:r>
        <w:t xml:space="preserve"> to emit </w:t>
      </w:r>
      <w:r w:rsidR="005850D6">
        <w:t xml:space="preserve">instead of actual emissions for that emission </w:t>
      </w:r>
      <w:r>
        <w:t xml:space="preserve"> unit.</w:t>
      </w:r>
    </w:p>
    <w:p w14:paraId="2ACCE50C" w14:textId="77777777" w:rsidR="00BF30D2" w:rsidRDefault="00BF30D2"/>
    <w:p w14:paraId="117BB795" w14:textId="77777777" w:rsidR="006B7683" w:rsidRDefault="006B7683" w:rsidP="005850D6">
      <w:r w:rsidRPr="006B7683">
        <w:rPr>
          <w:b/>
        </w:rPr>
        <w:t>Allowable emissions</w:t>
      </w:r>
      <w:r w:rsidR="005542C0">
        <w:rPr>
          <w:b/>
        </w:rPr>
        <w:t xml:space="preserve"> </w:t>
      </w:r>
      <w:r w:rsidR="00D233B5">
        <w:t xml:space="preserve">(also called the Potential To Emit or PTE) </w:t>
      </w:r>
      <w:r w:rsidR="00CE1C30">
        <w:t xml:space="preserve">– are emissions </w:t>
      </w:r>
      <w:r w:rsidR="00D233B5">
        <w:t xml:space="preserve">for a stationary source </w:t>
      </w:r>
      <w:r>
        <w:t>calculated using the maximum rated capacity of the source (unless the source is</w:t>
      </w:r>
      <w:r w:rsidR="00364C6A">
        <w:t xml:space="preserve"> </w:t>
      </w:r>
      <w:r>
        <w:t>subject to federally enforceable limits which restrict the operating rate, or hours of</w:t>
      </w:r>
      <w:r w:rsidR="00364C6A">
        <w:t xml:space="preserve"> </w:t>
      </w:r>
      <w:r>
        <w:t>operation, or both) and the most stringent of the following:</w:t>
      </w:r>
    </w:p>
    <w:p w14:paraId="523E87C6" w14:textId="77777777" w:rsidR="00D233B5" w:rsidRDefault="00D233B5" w:rsidP="00D233B5">
      <w:pPr>
        <w:numPr>
          <w:ilvl w:val="0"/>
          <w:numId w:val="31"/>
        </w:numPr>
      </w:pPr>
      <w:r>
        <w:t>The applicable standards set forth in 40 CFR Parts 60 (Standards of Performance for New Stationary Sources) or Parts 61 or 63 (National Emission Standards for Hazardous Air Pollutants);</w:t>
      </w:r>
    </w:p>
    <w:p w14:paraId="43EB9D0F" w14:textId="77777777" w:rsidR="00D233B5" w:rsidRDefault="00D233B5" w:rsidP="00D233B5">
      <w:pPr>
        <w:numPr>
          <w:ilvl w:val="0"/>
          <w:numId w:val="31"/>
        </w:numPr>
      </w:pPr>
      <w:r>
        <w:t>Any applicable State Implementation Plan emissions limitation including those with a future compliance date; or</w:t>
      </w:r>
    </w:p>
    <w:p w14:paraId="40F51207" w14:textId="77777777" w:rsidR="00D233B5" w:rsidRDefault="00D233B5" w:rsidP="00D233B5">
      <w:pPr>
        <w:numPr>
          <w:ilvl w:val="0"/>
          <w:numId w:val="31"/>
        </w:numPr>
      </w:pPr>
      <w:r>
        <w:t>The emissions rate specified as a federally enforceable permit condition, including those with a future compliance date.</w:t>
      </w:r>
    </w:p>
    <w:p w14:paraId="14C17E9F" w14:textId="77777777" w:rsidR="006F6274" w:rsidRDefault="006F6274" w:rsidP="006B7683">
      <w:pPr>
        <w:rPr>
          <w:b/>
        </w:rPr>
      </w:pPr>
    </w:p>
    <w:p w14:paraId="5E2358B3" w14:textId="77777777" w:rsidR="006F6274" w:rsidRDefault="006F6274" w:rsidP="006F6274">
      <w:r w:rsidRPr="006F6274">
        <w:rPr>
          <w:b/>
        </w:rPr>
        <w:t>Air Quality Control Region</w:t>
      </w:r>
      <w:r w:rsidR="00CE1C30">
        <w:t xml:space="preserve"> - is a</w:t>
      </w:r>
      <w:r>
        <w:t xml:space="preserve">n area of the State </w:t>
      </w:r>
      <w:r w:rsidR="00CE1C30">
        <w:t xml:space="preserve">which has been </w:t>
      </w:r>
      <w:r>
        <w:t>designated by the Admi</w:t>
      </w:r>
      <w:r w:rsidR="00CE1C30">
        <w:t>ni</w:t>
      </w:r>
      <w:r>
        <w:t xml:space="preserve">strator as an air quality control region.  For the purpose of modeling, air quality control regions are used to </w:t>
      </w:r>
      <w:proofErr w:type="gramStart"/>
      <w:r w:rsidR="00F539B9">
        <w:t>t</w:t>
      </w:r>
      <w:r>
        <w:t>rack</w:t>
      </w:r>
      <w:r w:rsidR="00CE1C30">
        <w:t xml:space="preserve"> </w:t>
      </w:r>
      <w:r>
        <w:t xml:space="preserve"> PM</w:t>
      </w:r>
      <w:proofErr w:type="gramEnd"/>
      <w:r w:rsidRPr="00553F7C">
        <w:rPr>
          <w:vertAlign w:val="subscript"/>
        </w:rPr>
        <w:t>10</w:t>
      </w:r>
      <w:r>
        <w:t xml:space="preserve"> minor source baseline dates. </w:t>
      </w:r>
    </w:p>
    <w:p w14:paraId="0D0EBB0C" w14:textId="77777777" w:rsidR="006F6274" w:rsidRDefault="006F6274" w:rsidP="006B7683">
      <w:pPr>
        <w:rPr>
          <w:b/>
        </w:rPr>
      </w:pPr>
    </w:p>
    <w:p w14:paraId="092A840B" w14:textId="77777777" w:rsidR="006B7683" w:rsidRDefault="006B7683" w:rsidP="00F539B9">
      <w:r w:rsidRPr="006B7683">
        <w:rPr>
          <w:b/>
        </w:rPr>
        <w:t>Ambient air</w:t>
      </w:r>
      <w:r w:rsidR="00CF36AE">
        <w:t xml:space="preserve"> - is</w:t>
      </w:r>
      <w:r w:rsidR="00D233B5">
        <w:t xml:space="preserve"> that </w:t>
      </w:r>
      <w:r>
        <w:t xml:space="preserve">portion of the atmosphere, external to buildings, </w:t>
      </w:r>
      <w:r w:rsidR="0055131F">
        <w:t xml:space="preserve">to which </w:t>
      </w:r>
      <w:r>
        <w:t>the general public has access.</w:t>
      </w:r>
      <w:r w:rsidR="00D233B5">
        <w:t xml:space="preserve">  F</w:t>
      </w:r>
      <w:r w:rsidR="00D233B5" w:rsidRPr="00D233B5">
        <w:t xml:space="preserve">or modeling purposes, </w:t>
      </w:r>
      <w:r w:rsidR="00B50616">
        <w:t xml:space="preserve">ground level </w:t>
      </w:r>
      <w:r w:rsidR="00D233B5" w:rsidRPr="00D233B5">
        <w:t>receptors will be placed everywhere the general public has access outside of contiguous plant property</w:t>
      </w:r>
      <w:r w:rsidR="00B50616">
        <w:t>.</w:t>
      </w:r>
    </w:p>
    <w:p w14:paraId="3F1854D1" w14:textId="77777777" w:rsidR="006B7683" w:rsidRDefault="006B7683" w:rsidP="006B7683"/>
    <w:p w14:paraId="237A9FF5" w14:textId="77777777" w:rsidR="006B7683" w:rsidRDefault="006B7683" w:rsidP="00CF36AE">
      <w:r w:rsidRPr="006B7683">
        <w:rPr>
          <w:b/>
        </w:rPr>
        <w:t>Complete</w:t>
      </w:r>
      <w:r w:rsidR="00CF36AE">
        <w:t xml:space="preserve"> </w:t>
      </w:r>
      <w:r w:rsidR="005542C0">
        <w:t xml:space="preserve">when </w:t>
      </w:r>
      <w:r w:rsidR="00CF36AE">
        <w:t>used i</w:t>
      </w:r>
      <w:r>
        <w:t>n reference to an application for a</w:t>
      </w:r>
      <w:r w:rsidR="00CF36AE">
        <w:t>n</w:t>
      </w:r>
      <w:r>
        <w:t xml:space="preserve"> </w:t>
      </w:r>
      <w:r w:rsidR="00CF36AE">
        <w:t xml:space="preserve">air quality construction </w:t>
      </w:r>
      <w:r>
        <w:t xml:space="preserve">permit, </w:t>
      </w:r>
      <w:r w:rsidR="00CF36AE">
        <w:t>means that an</w:t>
      </w:r>
      <w:r w:rsidR="00D229B9">
        <w:t xml:space="preserve"> </w:t>
      </w:r>
      <w:r>
        <w:t>application</w:t>
      </w:r>
      <w:r w:rsidR="00364C6A">
        <w:t xml:space="preserve"> </w:t>
      </w:r>
      <w:r>
        <w:t xml:space="preserve">contains all the information necessary for processing the application. </w:t>
      </w:r>
      <w:r w:rsidR="00D229B9">
        <w:t xml:space="preserve"> </w:t>
      </w:r>
      <w:r>
        <w:t>Designating an</w:t>
      </w:r>
      <w:r w:rsidR="00364C6A">
        <w:t xml:space="preserve"> </w:t>
      </w:r>
      <w:r>
        <w:t>application complete for purposes of permit processing does not preclude the</w:t>
      </w:r>
      <w:r w:rsidR="00364C6A">
        <w:t xml:space="preserve"> </w:t>
      </w:r>
      <w:r>
        <w:t>Department from requesting or accepting additional information.</w:t>
      </w:r>
    </w:p>
    <w:p w14:paraId="32573F2A" w14:textId="77777777" w:rsidR="006B7683" w:rsidRDefault="006B7683" w:rsidP="006B7683"/>
    <w:p w14:paraId="581EFAD5" w14:textId="77777777" w:rsidR="006B7683" w:rsidRDefault="006B7683" w:rsidP="006B7683">
      <w:r w:rsidRPr="006B7683">
        <w:rPr>
          <w:b/>
        </w:rPr>
        <w:t>Department</w:t>
      </w:r>
      <w:r w:rsidR="005542C0">
        <w:rPr>
          <w:b/>
        </w:rPr>
        <w:t xml:space="preserve"> </w:t>
      </w:r>
      <w:r w:rsidR="008B3C9B">
        <w:t>is t</w:t>
      </w:r>
      <w:r>
        <w:t xml:space="preserve">he </w:t>
      </w:r>
      <w:r w:rsidR="00B50616">
        <w:t xml:space="preserve">Nebraska </w:t>
      </w:r>
      <w:r>
        <w:t>Department of Environmental Quality</w:t>
      </w:r>
      <w:r w:rsidR="00B50616">
        <w:t>,</w:t>
      </w:r>
      <w:r w:rsidR="00CF36AE">
        <w:t xml:space="preserve"> or</w:t>
      </w:r>
      <w:r w:rsidR="00B50616">
        <w:t xml:space="preserve"> the NDEQ</w:t>
      </w:r>
      <w:r>
        <w:t>.</w:t>
      </w:r>
    </w:p>
    <w:p w14:paraId="3789AFA5" w14:textId="77777777" w:rsidR="006B7683" w:rsidRDefault="006B7683" w:rsidP="006B7683"/>
    <w:p w14:paraId="382426DB" w14:textId="77777777" w:rsidR="006B7683" w:rsidRDefault="006B7683" w:rsidP="006B7683">
      <w:r w:rsidRPr="006B7683">
        <w:rPr>
          <w:b/>
        </w:rPr>
        <w:t>Elevated terrain</w:t>
      </w:r>
      <w:r w:rsidR="00CF36AE" w:rsidRPr="005850D6">
        <w:t xml:space="preserve"> </w:t>
      </w:r>
      <w:r w:rsidR="00CF36AE">
        <w:t>–</w:t>
      </w:r>
      <w:r w:rsidR="00CF36AE" w:rsidRPr="005850D6">
        <w:t xml:space="preserve"> </w:t>
      </w:r>
      <w:r w:rsidR="00CF36AE">
        <w:t xml:space="preserve">is the </w:t>
      </w:r>
      <w:r>
        <w:t>terrain which may affect the calculation of good</w:t>
      </w:r>
      <w:r w:rsidR="00364C6A">
        <w:t xml:space="preserve"> </w:t>
      </w:r>
      <w:r>
        <w:t>engineering practice stack height.</w:t>
      </w:r>
    </w:p>
    <w:p w14:paraId="5DF37832" w14:textId="77777777" w:rsidR="006B7683" w:rsidRDefault="006B7683" w:rsidP="006B7683"/>
    <w:p w14:paraId="605711CB" w14:textId="77777777" w:rsidR="006B7683" w:rsidRDefault="006B7683" w:rsidP="006B7683">
      <w:r w:rsidRPr="006B7683">
        <w:rPr>
          <w:b/>
        </w:rPr>
        <w:t>Emissions unit</w:t>
      </w:r>
      <w:r w:rsidR="00CF36AE" w:rsidRPr="008B3C9B">
        <w:t xml:space="preserve"> </w:t>
      </w:r>
      <w:r w:rsidR="00CF36AE">
        <w:t>–</w:t>
      </w:r>
      <w:r w:rsidR="00CF36AE" w:rsidRPr="008B3C9B">
        <w:t xml:space="preserve"> </w:t>
      </w:r>
      <w:r w:rsidR="00CF36AE">
        <w:t>is a</w:t>
      </w:r>
      <w:r>
        <w:t>ny part or activity of a stationary source, which emits or</w:t>
      </w:r>
      <w:r w:rsidR="00364C6A">
        <w:t xml:space="preserve"> </w:t>
      </w:r>
      <w:r>
        <w:t>would have the potential to emit any regulated air pollutant (“regulated NSR pollutant”</w:t>
      </w:r>
      <w:r w:rsidR="00364C6A">
        <w:t xml:space="preserve"> </w:t>
      </w:r>
      <w:r>
        <w:t>for purposes of the Prevention of Significant Deterioration program) or any pollutant</w:t>
      </w:r>
      <w:r w:rsidR="00CF36AE">
        <w:t>.</w:t>
      </w:r>
    </w:p>
    <w:p w14:paraId="07528DB7" w14:textId="77777777" w:rsidR="006B7683" w:rsidRDefault="006B7683" w:rsidP="006B7683"/>
    <w:p w14:paraId="0513475A" w14:textId="77777777" w:rsidR="006B7683" w:rsidRDefault="006B7683" w:rsidP="006B7683">
      <w:r w:rsidRPr="006B7683">
        <w:rPr>
          <w:b/>
        </w:rPr>
        <w:t>Emissions</w:t>
      </w:r>
      <w:r w:rsidR="00CF36AE" w:rsidRPr="005850D6">
        <w:t xml:space="preserve"> </w:t>
      </w:r>
      <w:r w:rsidR="00CF36AE">
        <w:t>–</w:t>
      </w:r>
      <w:r w:rsidR="00CF36AE" w:rsidRPr="005850D6">
        <w:t xml:space="preserve"> </w:t>
      </w:r>
      <w:r w:rsidR="00CF36AE">
        <w:t>are t</w:t>
      </w:r>
      <w:r>
        <w:t>he releases or discharges into the outdoor atmosphere of any air</w:t>
      </w:r>
      <w:r w:rsidR="00364C6A">
        <w:t xml:space="preserve"> </w:t>
      </w:r>
      <w:r>
        <w:t>contaminant or combination thereof.</w:t>
      </w:r>
    </w:p>
    <w:p w14:paraId="4FA4FF11" w14:textId="77777777" w:rsidR="006B7683" w:rsidRDefault="006B7683" w:rsidP="006B7683"/>
    <w:p w14:paraId="07DA11EF" w14:textId="77777777" w:rsidR="0055131F" w:rsidRPr="0055131F" w:rsidRDefault="0055131F" w:rsidP="006B7683">
      <w:r w:rsidRPr="0055131F">
        <w:rPr>
          <w:b/>
        </w:rPr>
        <w:t>Exceedance</w:t>
      </w:r>
      <w:r w:rsidR="00CF36AE" w:rsidRPr="005850D6">
        <w:t xml:space="preserve"> - </w:t>
      </w:r>
      <w:r>
        <w:t xml:space="preserve">is </w:t>
      </w:r>
      <w:r w:rsidRPr="0055131F">
        <w:t>one</w:t>
      </w:r>
      <w:r>
        <w:t xml:space="preserve"> or more </w:t>
      </w:r>
      <w:r w:rsidRPr="0055131F">
        <w:t>occurrence</w:t>
      </w:r>
      <w:r>
        <w:t>s</w:t>
      </w:r>
      <w:r w:rsidRPr="0055131F">
        <w:t xml:space="preserve"> of a measured or modeled concentration that exceeds the specified concentration level of </w:t>
      </w:r>
      <w:r w:rsidR="00B36825">
        <w:t>a</w:t>
      </w:r>
      <w:r w:rsidRPr="0055131F">
        <w:t xml:space="preserve"> standard for the averaging period specified by the standard.</w:t>
      </w:r>
    </w:p>
    <w:p w14:paraId="53EEC0BC" w14:textId="77777777" w:rsidR="0055131F" w:rsidRDefault="0055131F" w:rsidP="006B7683">
      <w:pPr>
        <w:rPr>
          <w:b/>
        </w:rPr>
      </w:pPr>
    </w:p>
    <w:p w14:paraId="0964CE02" w14:textId="77777777" w:rsidR="006B7683" w:rsidRDefault="006B7683" w:rsidP="006B7683">
      <w:r w:rsidRPr="006B7683">
        <w:rPr>
          <w:b/>
        </w:rPr>
        <w:lastRenderedPageBreak/>
        <w:t>Federally enforceable</w:t>
      </w:r>
      <w:r w:rsidR="004937BE" w:rsidRPr="005850D6">
        <w:t xml:space="preserve"> </w:t>
      </w:r>
      <w:r w:rsidR="004937BE">
        <w:t>–</w:t>
      </w:r>
      <w:r w:rsidR="004937BE" w:rsidRPr="005850D6">
        <w:t xml:space="preserve"> </w:t>
      </w:r>
      <w:r w:rsidR="004937BE">
        <w:t>means a</w:t>
      </w:r>
      <w:r>
        <w:t>ll limitations, conditions, and requirements within</w:t>
      </w:r>
      <w:r w:rsidR="00364C6A">
        <w:t xml:space="preserve"> </w:t>
      </w:r>
      <w:r>
        <w:t>any applicable State Implementation Plan, any permit requirements established in any</w:t>
      </w:r>
      <w:r w:rsidR="00364C6A">
        <w:t xml:space="preserve"> </w:t>
      </w:r>
      <w:r>
        <w:t>permit issued pursuant to this Title, and any requirements in Chapters 18 and 23, 27, or</w:t>
      </w:r>
      <w:r w:rsidR="00364C6A">
        <w:t xml:space="preserve"> </w:t>
      </w:r>
      <w:r>
        <w:t>28 which are enforceable by the Administrator.</w:t>
      </w:r>
    </w:p>
    <w:p w14:paraId="7B3FD0CE" w14:textId="77777777" w:rsidR="006B7683" w:rsidRDefault="006B7683" w:rsidP="006B7683"/>
    <w:p w14:paraId="5A3A63DF" w14:textId="77777777" w:rsidR="006B7683" w:rsidRDefault="006B7683" w:rsidP="006B7683">
      <w:r w:rsidRPr="006B7683">
        <w:rPr>
          <w:b/>
        </w:rPr>
        <w:t>Fugitive dust</w:t>
      </w:r>
      <w:r w:rsidR="004937BE" w:rsidRPr="005850D6">
        <w:t xml:space="preserve"> - </w:t>
      </w:r>
      <w:r w:rsidR="00B73B8E">
        <w:t xml:space="preserve">is the </w:t>
      </w:r>
      <w:r>
        <w:t>solid airborne particulate matter emitted from any source</w:t>
      </w:r>
      <w:r w:rsidR="00364C6A">
        <w:t xml:space="preserve"> </w:t>
      </w:r>
      <w:r>
        <w:t>other than a flue or stack.</w:t>
      </w:r>
    </w:p>
    <w:p w14:paraId="0D1657BA" w14:textId="77777777" w:rsidR="006B7683" w:rsidRDefault="006B7683" w:rsidP="006B7683"/>
    <w:p w14:paraId="2D303BC2" w14:textId="77777777" w:rsidR="006B7683" w:rsidRDefault="006B7683" w:rsidP="006B7683">
      <w:r w:rsidRPr="006B7683">
        <w:rPr>
          <w:b/>
        </w:rPr>
        <w:t>Fugitive emission</w:t>
      </w:r>
      <w:r w:rsidR="004937BE" w:rsidRPr="005850D6">
        <w:t xml:space="preserve"> - </w:t>
      </w:r>
      <w:r w:rsidR="00B73B8E">
        <w:t xml:space="preserve">are </w:t>
      </w:r>
      <w:r>
        <w:t>those emissions which could not reasonably pass</w:t>
      </w:r>
      <w:r w:rsidR="00364C6A">
        <w:t xml:space="preserve"> </w:t>
      </w:r>
      <w:r>
        <w:t>through a stack, chimney, vent, or other functionally equivalent opening.</w:t>
      </w:r>
    </w:p>
    <w:p w14:paraId="2E715C5E" w14:textId="77777777" w:rsidR="006B7683" w:rsidRDefault="006B7683" w:rsidP="006B7683"/>
    <w:p w14:paraId="4DF14249" w14:textId="77777777" w:rsidR="006B7683" w:rsidRDefault="006B7683" w:rsidP="006B7683">
      <w:r w:rsidRPr="006B7683">
        <w:rPr>
          <w:b/>
        </w:rPr>
        <w:t>Major source baseline date</w:t>
      </w:r>
      <w:r w:rsidR="004937BE" w:rsidRPr="005850D6">
        <w:t xml:space="preserve"> - </w:t>
      </w:r>
      <w:r w:rsidR="00AB35BD">
        <w:t>The Major Source Baseline Date is set by Federal Regulation</w:t>
      </w:r>
      <w:r w:rsidR="00736F39">
        <w:t xml:space="preserve">.  The Major Source Baseline Date is January 6, </w:t>
      </w:r>
      <w:proofErr w:type="gramStart"/>
      <w:r w:rsidR="00736F39">
        <w:t>1975</w:t>
      </w:r>
      <w:proofErr w:type="gramEnd"/>
      <w:r w:rsidR="00736F39">
        <w:t xml:space="preserve"> for both PM</w:t>
      </w:r>
      <w:r w:rsidR="00736F39" w:rsidRPr="00736F39">
        <w:rPr>
          <w:vertAlign w:val="subscript"/>
        </w:rPr>
        <w:t>10</w:t>
      </w:r>
      <w:r w:rsidR="00736F39">
        <w:t xml:space="preserve"> and SO</w:t>
      </w:r>
      <w:r w:rsidR="00736F39" w:rsidRPr="00736F39">
        <w:rPr>
          <w:vertAlign w:val="subscript"/>
        </w:rPr>
        <w:t>2</w:t>
      </w:r>
      <w:r w:rsidR="00736F39">
        <w:t>, February 8, 1988</w:t>
      </w:r>
      <w:r w:rsidR="00736F39" w:rsidRPr="00736F39">
        <w:t xml:space="preserve"> </w:t>
      </w:r>
      <w:r w:rsidR="00736F39">
        <w:t>for NO</w:t>
      </w:r>
      <w:r w:rsidR="00736F39" w:rsidRPr="00736F39">
        <w:rPr>
          <w:vertAlign w:val="subscript"/>
        </w:rPr>
        <w:t>2</w:t>
      </w:r>
      <w:r w:rsidR="00736F39">
        <w:t>, and</w:t>
      </w:r>
      <w:r>
        <w:t xml:space="preserve"> </w:t>
      </w:r>
      <w:r w:rsidR="00736F39">
        <w:t>October 20, 2010 for</w:t>
      </w:r>
      <w:r w:rsidR="00364C6A">
        <w:t xml:space="preserve"> </w:t>
      </w:r>
      <w:r w:rsidR="00736F39">
        <w:t>PM</w:t>
      </w:r>
      <w:r w:rsidR="00736F39" w:rsidRPr="00736F39">
        <w:rPr>
          <w:vertAlign w:val="subscript"/>
        </w:rPr>
        <w:t>2.5</w:t>
      </w:r>
      <w:r w:rsidR="00736F39">
        <w:t>.</w:t>
      </w:r>
    </w:p>
    <w:p w14:paraId="3B88D6F1" w14:textId="77777777" w:rsidR="006B7683" w:rsidRDefault="006B7683" w:rsidP="006B7683"/>
    <w:p w14:paraId="0BAAAF06" w14:textId="77777777" w:rsidR="00BC32CD" w:rsidRDefault="006B7683" w:rsidP="00BC32CD">
      <w:r w:rsidRPr="006B7683">
        <w:rPr>
          <w:b/>
        </w:rPr>
        <w:t>Minor source baseline date</w:t>
      </w:r>
      <w:r w:rsidR="004937BE" w:rsidRPr="005850D6">
        <w:t xml:space="preserve"> - </w:t>
      </w:r>
      <w:r w:rsidR="00DA3636">
        <w:t xml:space="preserve">The Minor Source Baseline Date is </w:t>
      </w:r>
      <w:r>
        <w:t>the earliest date after the trigger date on</w:t>
      </w:r>
      <w:r w:rsidR="00364C6A">
        <w:t xml:space="preserve"> </w:t>
      </w:r>
      <w:r>
        <w:t>which a major stationary source or a major modification subject to the Prevention of</w:t>
      </w:r>
      <w:r w:rsidR="00364C6A">
        <w:t xml:space="preserve"> </w:t>
      </w:r>
      <w:r>
        <w:t xml:space="preserve">Significant Deterioration Program, as defined in </w:t>
      </w:r>
      <w:r w:rsidR="004937BE">
        <w:t xml:space="preserve">Title 129, </w:t>
      </w:r>
      <w:r>
        <w:t>Chapter 1, submits a complete permit</w:t>
      </w:r>
      <w:r w:rsidR="00364C6A">
        <w:t xml:space="preserve"> </w:t>
      </w:r>
      <w:r>
        <w:t>application. The trigger date is, in the case of PM</w:t>
      </w:r>
      <w:r w:rsidRPr="00DA3636">
        <w:rPr>
          <w:vertAlign w:val="subscript"/>
        </w:rPr>
        <w:t>10</w:t>
      </w:r>
      <w:r>
        <w:t xml:space="preserve"> and sulfur dioxide, August 7, 1977,</w:t>
      </w:r>
      <w:r w:rsidR="00364C6A">
        <w:t xml:space="preserve"> </w:t>
      </w:r>
      <w:r>
        <w:t>in the case of nitrogen dioxide, February 8, 1988, and in the case of PM</w:t>
      </w:r>
      <w:r w:rsidRPr="00DA3636">
        <w:rPr>
          <w:vertAlign w:val="subscript"/>
        </w:rPr>
        <w:t>2.5</w:t>
      </w:r>
      <w:r>
        <w:t>, October 20,</w:t>
      </w:r>
      <w:r w:rsidR="00364C6A">
        <w:t xml:space="preserve"> </w:t>
      </w:r>
      <w:r>
        <w:t xml:space="preserve">2011. </w:t>
      </w:r>
    </w:p>
    <w:p w14:paraId="2E0939FE" w14:textId="77777777" w:rsidR="006B7683" w:rsidRDefault="006B7683" w:rsidP="006B7683"/>
    <w:p w14:paraId="3302A3AF" w14:textId="77777777" w:rsidR="006B7683" w:rsidRDefault="006B7683" w:rsidP="00BC32CD">
      <w:r w:rsidRPr="00364C6A">
        <w:rPr>
          <w:b/>
        </w:rPr>
        <w:t>PM</w:t>
      </w:r>
      <w:r w:rsidR="003B3A01">
        <w:rPr>
          <w:b/>
          <w:vertAlign w:val="subscript"/>
        </w:rPr>
        <w:t>2.5</w:t>
      </w:r>
      <w:r w:rsidR="00EA60C9" w:rsidRPr="005850D6">
        <w:t xml:space="preserve"> </w:t>
      </w:r>
      <w:r w:rsidR="00EA60C9">
        <w:t>–</w:t>
      </w:r>
      <w:r w:rsidR="00EA60C9" w:rsidRPr="005850D6">
        <w:t xml:space="preserve"> </w:t>
      </w:r>
      <w:r w:rsidR="00EA60C9">
        <w:t xml:space="preserve">is </w:t>
      </w:r>
      <w:r>
        <w:t>particulate matter with an aerodynamic diameter less than or equal</w:t>
      </w:r>
      <w:r w:rsidR="00BC32CD">
        <w:t xml:space="preserve"> </w:t>
      </w:r>
      <w:r w:rsidR="003B3A01">
        <w:t>to a nominal 2.5</w:t>
      </w:r>
      <w:r>
        <w:t xml:space="preserve"> micrometers</w:t>
      </w:r>
      <w:r w:rsidR="00EA60C9">
        <w:t>.</w:t>
      </w:r>
    </w:p>
    <w:p w14:paraId="074E4552" w14:textId="77777777" w:rsidR="00364C6A" w:rsidRDefault="00364C6A" w:rsidP="006B7683"/>
    <w:p w14:paraId="60C61EF9" w14:textId="77777777" w:rsidR="003B3A01" w:rsidRDefault="006B7683" w:rsidP="003B3A01">
      <w:r w:rsidRPr="00364C6A">
        <w:rPr>
          <w:b/>
        </w:rPr>
        <w:t>PM</w:t>
      </w:r>
      <w:r w:rsidRPr="006000B9">
        <w:rPr>
          <w:b/>
          <w:vertAlign w:val="subscript"/>
        </w:rPr>
        <w:t>10</w:t>
      </w:r>
      <w:r w:rsidRPr="005850D6">
        <w:t xml:space="preserve"> </w:t>
      </w:r>
      <w:r w:rsidR="00EA60C9">
        <w:t>–</w:t>
      </w:r>
      <w:r w:rsidR="00EA60C9" w:rsidRPr="005850D6">
        <w:t xml:space="preserve"> </w:t>
      </w:r>
      <w:r w:rsidR="00EA60C9">
        <w:t xml:space="preserve">is </w:t>
      </w:r>
      <w:r w:rsidR="003B3A01">
        <w:t>particulate matter with an aerodynamic diameter less than or equal to a nominal 10 micrometers</w:t>
      </w:r>
      <w:r w:rsidR="00EA60C9">
        <w:t>.</w:t>
      </w:r>
    </w:p>
    <w:p w14:paraId="2B9F1B89" w14:textId="77777777" w:rsidR="006B7683" w:rsidRDefault="006B7683" w:rsidP="006B7683"/>
    <w:p w14:paraId="11F031E3" w14:textId="77777777" w:rsidR="006B7683" w:rsidRDefault="006000B9" w:rsidP="006B7683">
      <w:r>
        <w:rPr>
          <w:b/>
        </w:rPr>
        <w:t>Potential T</w:t>
      </w:r>
      <w:r w:rsidR="006B7683" w:rsidRPr="00364C6A">
        <w:rPr>
          <w:b/>
        </w:rPr>
        <w:t xml:space="preserve">o </w:t>
      </w:r>
      <w:r>
        <w:rPr>
          <w:b/>
        </w:rPr>
        <w:t>E</w:t>
      </w:r>
      <w:r w:rsidR="006B7683" w:rsidRPr="00364C6A">
        <w:rPr>
          <w:b/>
        </w:rPr>
        <w:t>mit</w:t>
      </w:r>
      <w:r>
        <w:rPr>
          <w:b/>
        </w:rPr>
        <w:t xml:space="preserve"> (PTE)</w:t>
      </w:r>
      <w:r w:rsidR="00EA60C9" w:rsidRPr="005850D6">
        <w:t xml:space="preserve"> </w:t>
      </w:r>
      <w:r w:rsidR="00EA60C9">
        <w:t>–</w:t>
      </w:r>
      <w:r w:rsidR="00EA60C9" w:rsidRPr="005850D6">
        <w:t xml:space="preserve"> </w:t>
      </w:r>
      <w:r w:rsidR="00EA60C9">
        <w:t xml:space="preserve">is </w:t>
      </w:r>
      <w:r w:rsidR="00BC32CD">
        <w:t xml:space="preserve">the </w:t>
      </w:r>
      <w:r w:rsidR="006B7683">
        <w:t>maximum capacity of a stationary source to emit a</w:t>
      </w:r>
      <w:r w:rsidR="00364C6A">
        <w:t xml:space="preserve"> </w:t>
      </w:r>
      <w:r w:rsidR="006B7683">
        <w:t>pollutant under its physical and operational design. Any physical or operational</w:t>
      </w:r>
      <w:r w:rsidR="00364C6A">
        <w:t xml:space="preserve"> </w:t>
      </w:r>
      <w:r w:rsidR="006B7683">
        <w:t>limitation on the capacity of the source to emit a pollutant, including air pollution control</w:t>
      </w:r>
      <w:r w:rsidR="00364C6A">
        <w:t xml:space="preserve"> </w:t>
      </w:r>
      <w:r w:rsidR="006B7683">
        <w:t>equipment and restrictions on hours of operation or on the type or amount of material</w:t>
      </w:r>
      <w:r w:rsidR="00364C6A">
        <w:t xml:space="preserve"> </w:t>
      </w:r>
      <w:r w:rsidR="006B7683">
        <w:t>combusted, stored, or processed, shall be treated as part of its design if the limitation or</w:t>
      </w:r>
      <w:r w:rsidR="00364C6A">
        <w:t xml:space="preserve"> </w:t>
      </w:r>
      <w:r w:rsidR="006B7683">
        <w:t>the effect it would have on emissions is federally enforceable. Secondary emissions do</w:t>
      </w:r>
      <w:r w:rsidR="00364C6A">
        <w:t xml:space="preserve"> </w:t>
      </w:r>
      <w:r w:rsidR="006B7683">
        <w:t>not count in determining the potential to emit of a stationary source.</w:t>
      </w:r>
    </w:p>
    <w:p w14:paraId="46B68025" w14:textId="77777777" w:rsidR="00BC32CD" w:rsidRDefault="00BC32CD" w:rsidP="006B7683"/>
    <w:p w14:paraId="625EEB7F" w14:textId="77777777" w:rsidR="006B7683" w:rsidRDefault="006B7683" w:rsidP="006B7683">
      <w:r w:rsidRPr="00364C6A">
        <w:rPr>
          <w:b/>
        </w:rPr>
        <w:t>Prevention of Significant Deterioration Program (PSD) program</w:t>
      </w:r>
      <w:r w:rsidR="00EA60C9" w:rsidRPr="005850D6">
        <w:t xml:space="preserve"> </w:t>
      </w:r>
      <w:r w:rsidR="00EA60C9">
        <w:t>–</w:t>
      </w:r>
      <w:r w:rsidR="00EA60C9" w:rsidRPr="005850D6">
        <w:t xml:space="preserve"> </w:t>
      </w:r>
      <w:r w:rsidR="00EA60C9">
        <w:t xml:space="preserve">is </w:t>
      </w:r>
      <w:r w:rsidR="00BC32CD">
        <w:t xml:space="preserve">the </w:t>
      </w:r>
      <w:r>
        <w:t xml:space="preserve">major source preconstruction </w:t>
      </w:r>
      <w:r w:rsidR="00EA60C9">
        <w:t xml:space="preserve">air quality </w:t>
      </w:r>
      <w:r>
        <w:t>permit program that has been approved by the Administrator</w:t>
      </w:r>
      <w:r w:rsidR="00364C6A">
        <w:t xml:space="preserve"> </w:t>
      </w:r>
      <w:r>
        <w:t xml:space="preserve">and incorporated into </w:t>
      </w:r>
      <w:r w:rsidR="004A5330">
        <w:t xml:space="preserve">Title 129 </w:t>
      </w:r>
      <w:r>
        <w:t>to implement the requirements of 40 CFR 51.166 or 40</w:t>
      </w:r>
      <w:r w:rsidR="00364C6A">
        <w:t xml:space="preserve"> </w:t>
      </w:r>
      <w:r>
        <w:t>CFR 52.21.</w:t>
      </w:r>
      <w:r w:rsidR="00EA60C9">
        <w:t xml:space="preserve"> </w:t>
      </w:r>
      <w:r>
        <w:t xml:space="preserve"> Any permit issued under such a program is a major NSR permit.</w:t>
      </w:r>
    </w:p>
    <w:p w14:paraId="6E7D6217" w14:textId="77777777" w:rsidR="006F6274" w:rsidRDefault="006F6274" w:rsidP="006B7683">
      <w:pPr>
        <w:rPr>
          <w:b/>
        </w:rPr>
      </w:pPr>
    </w:p>
    <w:p w14:paraId="5B290F54" w14:textId="77777777" w:rsidR="00EB0489" w:rsidRPr="00EB0489" w:rsidRDefault="00EB0489" w:rsidP="00EB0489">
      <w:r>
        <w:rPr>
          <w:b/>
        </w:rPr>
        <w:t>Primary Standard</w:t>
      </w:r>
      <w:r w:rsidR="00EA60C9">
        <w:t xml:space="preserve"> - is </w:t>
      </w:r>
      <w:r>
        <w:t>a standard set by the EPA to</w:t>
      </w:r>
      <w:r w:rsidRPr="00EB0489">
        <w:t xml:space="preserve"> the maximum permissible ambient air level </w:t>
      </w:r>
      <w:r>
        <w:t xml:space="preserve">concentration </w:t>
      </w:r>
      <w:r w:rsidRPr="00EB0489">
        <w:t>which will protect the health of any sensitive</w:t>
      </w:r>
      <w:r>
        <w:t xml:space="preserve"> group of the population.</w:t>
      </w:r>
    </w:p>
    <w:p w14:paraId="513DF6D6" w14:textId="77777777" w:rsidR="006B7683" w:rsidRDefault="006B7683" w:rsidP="006B7683"/>
    <w:p w14:paraId="51334A1B" w14:textId="77777777" w:rsidR="006B7683" w:rsidRDefault="006B7683" w:rsidP="006B7683">
      <w:r w:rsidRPr="006B7683">
        <w:rPr>
          <w:b/>
        </w:rPr>
        <w:t>Secondary emissions</w:t>
      </w:r>
      <w:r w:rsidR="00EA60C9" w:rsidRPr="005850D6">
        <w:t xml:space="preserve"> - </w:t>
      </w:r>
      <w:r w:rsidR="00EA60C9">
        <w:t>are</w:t>
      </w:r>
      <w:r w:rsidR="004A5330">
        <w:t xml:space="preserve"> those</w:t>
      </w:r>
      <w:r>
        <w:t xml:space="preserve"> emissions which occur as a result of the</w:t>
      </w:r>
      <w:r w:rsidR="00364C6A">
        <w:t xml:space="preserve"> </w:t>
      </w:r>
      <w:r>
        <w:t>construction</w:t>
      </w:r>
      <w:r w:rsidR="004A5330">
        <w:t>, modification,</w:t>
      </w:r>
      <w:r>
        <w:t xml:space="preserve"> or operation of a source but </w:t>
      </w:r>
      <w:r w:rsidR="004A5330">
        <w:t xml:space="preserve">are not directly emitted by the source itself.  </w:t>
      </w:r>
      <w:r>
        <w:t>Secondary</w:t>
      </w:r>
      <w:r w:rsidR="00364C6A">
        <w:t xml:space="preserve"> </w:t>
      </w:r>
      <w:r>
        <w:t>emissions must be specific, well defined, quantifiable, and impact the same general</w:t>
      </w:r>
      <w:r w:rsidR="00364C6A">
        <w:t xml:space="preserve"> </w:t>
      </w:r>
      <w:r>
        <w:t>area as the stationary source or modification which causes the secondary emissions.</w:t>
      </w:r>
      <w:r w:rsidR="00364C6A">
        <w:t xml:space="preserve"> </w:t>
      </w:r>
      <w:r>
        <w:t>Secondary emissions include emissions from any offsite support facility which would not</w:t>
      </w:r>
      <w:r w:rsidR="00364C6A">
        <w:t xml:space="preserve"> </w:t>
      </w:r>
      <w:r>
        <w:t>be constructed or increase its emissions except as a result of the construction or</w:t>
      </w:r>
      <w:r w:rsidR="00364C6A">
        <w:t xml:space="preserve"> </w:t>
      </w:r>
      <w:r>
        <w:t>operation of the major stationary source or major modification. Secondary emissions do</w:t>
      </w:r>
      <w:r w:rsidR="00364C6A">
        <w:t xml:space="preserve"> </w:t>
      </w:r>
      <w:r>
        <w:t>not include any emissions which come directly from a mobile source, such as emissions</w:t>
      </w:r>
      <w:r w:rsidR="00364C6A">
        <w:t xml:space="preserve"> </w:t>
      </w:r>
      <w:r>
        <w:t>from the tailpipe of a motor vehicle, from a train, or from a vessel.</w:t>
      </w:r>
    </w:p>
    <w:p w14:paraId="37AEC9E5" w14:textId="77777777" w:rsidR="006B7683" w:rsidRDefault="006B7683" w:rsidP="006B7683"/>
    <w:p w14:paraId="47843919" w14:textId="77777777" w:rsidR="00EB0489" w:rsidRPr="00EB0489" w:rsidRDefault="006B7683" w:rsidP="005850D6">
      <w:r w:rsidRPr="006B7683">
        <w:rPr>
          <w:b/>
        </w:rPr>
        <w:lastRenderedPageBreak/>
        <w:t>Secondary standard</w:t>
      </w:r>
      <w:r w:rsidR="00EA60C9" w:rsidRPr="005850D6">
        <w:t xml:space="preserve"> - </w:t>
      </w:r>
      <w:r w:rsidR="004A5330">
        <w:t xml:space="preserve">is a standard set by the EPA to </w:t>
      </w:r>
      <w:r w:rsidR="00EB0489" w:rsidRPr="00EB0489">
        <w:t>provide protection against pollutant related public welfare effects, including visibility impairment, effects on vegetation and ecosystems, and materials damage and soiling.</w:t>
      </w:r>
    </w:p>
    <w:p w14:paraId="368F44EE" w14:textId="77777777" w:rsidR="006B7683" w:rsidRDefault="006B7683" w:rsidP="006B7683"/>
    <w:p w14:paraId="315437ED" w14:textId="77777777" w:rsidR="006B7683" w:rsidRDefault="006B7683" w:rsidP="006B7683">
      <w:r w:rsidRPr="006B7683">
        <w:rPr>
          <w:b/>
        </w:rPr>
        <w:t>Stack</w:t>
      </w:r>
      <w:r w:rsidR="00EA60C9" w:rsidRPr="005850D6">
        <w:t xml:space="preserve"> - </w:t>
      </w:r>
      <w:r w:rsidR="00EB0489">
        <w:t xml:space="preserve">is </w:t>
      </w:r>
      <w:r>
        <w:t>any point in a source designed to emit solids, liquids, or gases into</w:t>
      </w:r>
      <w:r w:rsidR="00364C6A">
        <w:t xml:space="preserve"> </w:t>
      </w:r>
      <w:r>
        <w:t>the air, including a pipe or duct but not including flares.</w:t>
      </w:r>
    </w:p>
    <w:p w14:paraId="06F2544C" w14:textId="77777777" w:rsidR="006B7683" w:rsidRDefault="006B7683" w:rsidP="006B7683"/>
    <w:p w14:paraId="199888E1" w14:textId="77777777" w:rsidR="00364C6A" w:rsidRDefault="006B7683" w:rsidP="006B7683">
      <w:r w:rsidRPr="006B7683">
        <w:rPr>
          <w:b/>
        </w:rPr>
        <w:t>Stack height</w:t>
      </w:r>
      <w:r w:rsidR="00EA60C9" w:rsidRPr="005850D6">
        <w:t xml:space="preserve"> - </w:t>
      </w:r>
      <w:r w:rsidR="00EB0489">
        <w:t xml:space="preserve">is </w:t>
      </w:r>
      <w:r>
        <w:t xml:space="preserve">the distance </w:t>
      </w:r>
      <w:r w:rsidR="00EB0489">
        <w:t xml:space="preserve">measured </w:t>
      </w:r>
      <w:r>
        <w:t>from the ground level elevation of a stack to</w:t>
      </w:r>
      <w:r w:rsidR="00364C6A">
        <w:t xml:space="preserve"> </w:t>
      </w:r>
      <w:r>
        <w:t>the elevation of the stack outlet.</w:t>
      </w:r>
    </w:p>
    <w:p w14:paraId="0BC7EC18" w14:textId="77777777" w:rsidR="00364C6A" w:rsidRDefault="00364C6A" w:rsidP="006B7683"/>
    <w:p w14:paraId="0FB90BB8" w14:textId="77777777" w:rsidR="006B7683" w:rsidRDefault="006B7683" w:rsidP="006B7683">
      <w:r w:rsidRPr="00364C6A">
        <w:rPr>
          <w:b/>
        </w:rPr>
        <w:t>Stationary source</w:t>
      </w:r>
      <w:r w:rsidR="00E85DEE" w:rsidRPr="005850D6">
        <w:t xml:space="preserve"> - </w:t>
      </w:r>
      <w:r w:rsidR="00E85DEE">
        <w:t>i</w:t>
      </w:r>
      <w:r w:rsidR="00EB0489">
        <w:t xml:space="preserve">s </w:t>
      </w:r>
      <w:r>
        <w:t>any building, structure, facility, or installation which</w:t>
      </w:r>
      <w:r w:rsidR="00364C6A">
        <w:t xml:space="preserve"> </w:t>
      </w:r>
      <w:r>
        <w:t>emits or may emit any air pollutant subject to regulation under Title</w:t>
      </w:r>
      <w:r w:rsidR="00EB0489">
        <w:t xml:space="preserve"> 129</w:t>
      </w:r>
      <w:r>
        <w:t>.</w:t>
      </w:r>
    </w:p>
    <w:p w14:paraId="490351C2" w14:textId="77777777" w:rsidR="006B7683" w:rsidRDefault="006B7683" w:rsidP="006B7683"/>
    <w:p w14:paraId="1F6456FF" w14:textId="77777777" w:rsidR="006B7683" w:rsidRDefault="006B7683" w:rsidP="006B7683">
      <w:r w:rsidRPr="006B7683">
        <w:rPr>
          <w:b/>
        </w:rPr>
        <w:t>Total reduced sulfur</w:t>
      </w:r>
      <w:r w:rsidR="00E85DEE" w:rsidRPr="005850D6">
        <w:t xml:space="preserve"> - </w:t>
      </w:r>
      <w:r>
        <w:t>means total sulfur from the following compounds:</w:t>
      </w:r>
      <w:r w:rsidR="00E85DEE">
        <w:t xml:space="preserve"> </w:t>
      </w:r>
      <w:r>
        <w:t xml:space="preserve"> hydrogen</w:t>
      </w:r>
      <w:r w:rsidR="00364C6A">
        <w:t xml:space="preserve"> </w:t>
      </w:r>
      <w:r>
        <w:t>sulfide, methyl mercaptan, dimethyl sulfide, and dimethyl disulfide.</w:t>
      </w:r>
    </w:p>
    <w:p w14:paraId="676A2E1B" w14:textId="77777777" w:rsidR="006B7683" w:rsidRDefault="006B7683" w:rsidP="006B7683"/>
    <w:p w14:paraId="6F77A7DC" w14:textId="77777777" w:rsidR="006B7683" w:rsidRDefault="006B7683" w:rsidP="006B7683">
      <w:r w:rsidRPr="006B7683">
        <w:rPr>
          <w:b/>
        </w:rPr>
        <w:t>UTM coordinates</w:t>
      </w:r>
      <w:r w:rsidR="00E85DEE" w:rsidRPr="005850D6">
        <w:t xml:space="preserve"> - </w:t>
      </w:r>
      <w:r>
        <w:t>The Universal Transverse Mercator Coordinate (UTM)</w:t>
      </w:r>
      <w:r w:rsidR="00364C6A">
        <w:t xml:space="preserve"> </w:t>
      </w:r>
      <w:r>
        <w:t>system provides coordinates on a world</w:t>
      </w:r>
      <w:r w:rsidR="00E85DEE">
        <w:t>w</w:t>
      </w:r>
      <w:r>
        <w:t xml:space="preserve">ide flat grid. </w:t>
      </w:r>
      <w:r w:rsidR="00E85DEE">
        <w:t xml:space="preserve"> T</w:t>
      </w:r>
      <w:r>
        <w:t>he UTM coordinate</w:t>
      </w:r>
      <w:r w:rsidR="00364C6A">
        <w:t xml:space="preserve"> </w:t>
      </w:r>
      <w:r>
        <w:t>system divides the world into 60 zones, each six degrees longitude wide and</w:t>
      </w:r>
      <w:r w:rsidR="00364C6A">
        <w:t xml:space="preserve"> </w:t>
      </w:r>
      <w:r>
        <w:t>extending from 80 degrees south latitude to 84 degrees north latitude. The first zone</w:t>
      </w:r>
      <w:r w:rsidR="00364C6A">
        <w:t xml:space="preserve"> </w:t>
      </w:r>
      <w:r>
        <w:t>starts at the International Date Line and proceeds eastward.</w:t>
      </w:r>
    </w:p>
    <w:p w14:paraId="5C6F8BE5" w14:textId="77777777" w:rsidR="006B7683" w:rsidRDefault="006B7683" w:rsidP="006B7683"/>
    <w:p w14:paraId="3E56BC77" w14:textId="77777777" w:rsidR="006B7683" w:rsidRDefault="006B7683" w:rsidP="006B7683">
      <w:r w:rsidRPr="006B7683">
        <w:rPr>
          <w:b/>
        </w:rPr>
        <w:t>Volatile organic compound (VOC)</w:t>
      </w:r>
      <w:r w:rsidR="00E85DEE" w:rsidRPr="005850D6">
        <w:t xml:space="preserve"> - </w:t>
      </w:r>
      <w:r>
        <w:t>means any compound of carbon, excluding</w:t>
      </w:r>
      <w:r w:rsidR="00364C6A">
        <w:t xml:space="preserve"> </w:t>
      </w:r>
      <w:r>
        <w:t>carbon monoxide, carbon dioxide, carbonic acid, metallic carbides or carbonates, and</w:t>
      </w:r>
      <w:r w:rsidR="00364C6A">
        <w:t xml:space="preserve"> </w:t>
      </w:r>
      <w:r>
        <w:t>ammonium carbonate, which participates in atmospheric photochemical reactions.</w:t>
      </w:r>
      <w:r w:rsidR="00364C6A">
        <w:t xml:space="preserve"> </w:t>
      </w:r>
      <w:r w:rsidR="00E85DEE">
        <w:t xml:space="preserve"> </w:t>
      </w:r>
      <w:r>
        <w:t>VOC includes any such organic compound other than the compounds listed in 40 CFR</w:t>
      </w:r>
      <w:r w:rsidR="00364C6A">
        <w:t xml:space="preserve"> </w:t>
      </w:r>
      <w:r>
        <w:t>51.100(s)(1) and (5), effective July 1, 2013, which have been determined to have</w:t>
      </w:r>
      <w:r w:rsidR="00364C6A">
        <w:t xml:space="preserve"> </w:t>
      </w:r>
      <w:r>
        <w:t>negligible photochemical reactivity.</w:t>
      </w:r>
    </w:p>
    <w:p w14:paraId="2088E6C4" w14:textId="77777777" w:rsidR="006B7683" w:rsidRDefault="006B7683" w:rsidP="006B7683"/>
    <w:p w14:paraId="3F09B642" w14:textId="77777777" w:rsidR="003327D6" w:rsidRDefault="003327D6">
      <w:pPr>
        <w:rPr>
          <w:b/>
        </w:rPr>
      </w:pPr>
      <w:r>
        <w:rPr>
          <w:b/>
        </w:rPr>
        <w:br w:type="page"/>
      </w:r>
    </w:p>
    <w:p w14:paraId="4E6BE065" w14:textId="77777777" w:rsidR="00371AD1" w:rsidRPr="008B3C9B" w:rsidRDefault="00371AD1" w:rsidP="00D511FD">
      <w:pPr>
        <w:pStyle w:val="Heading1"/>
      </w:pPr>
      <w:bookmarkStart w:id="26" w:name="_Toc489256260"/>
      <w:r w:rsidRPr="00CF40FF">
        <w:lastRenderedPageBreak/>
        <w:t>Appendix C</w:t>
      </w:r>
      <w:r w:rsidR="00D511FD">
        <w:t xml:space="preserve"> - </w:t>
      </w:r>
      <w:r w:rsidR="00862EA9" w:rsidRPr="008B3C9B">
        <w:t>Modeling</w:t>
      </w:r>
      <w:r w:rsidRPr="008B3C9B">
        <w:t xml:space="preserve"> </w:t>
      </w:r>
      <w:r w:rsidR="00F92B16">
        <w:t>H</w:t>
      </w:r>
      <w:r w:rsidRPr="008B3C9B">
        <w:t xml:space="preserve">aul </w:t>
      </w:r>
      <w:r w:rsidR="00F92B16">
        <w:t>R</w:t>
      </w:r>
      <w:r w:rsidRPr="008B3C9B">
        <w:t>oad</w:t>
      </w:r>
      <w:r w:rsidR="001E6F75" w:rsidRPr="008B3C9B">
        <w:t>s</w:t>
      </w:r>
      <w:bookmarkEnd w:id="26"/>
    </w:p>
    <w:p w14:paraId="1B8C58C9" w14:textId="77777777" w:rsidR="00CF40FF" w:rsidRDefault="00CF40FF"/>
    <w:p w14:paraId="7236E58B" w14:textId="77777777" w:rsidR="00654C96" w:rsidRDefault="00654C96" w:rsidP="00CF40FF">
      <w:r>
        <w:t>The preferred method for characterizing h</w:t>
      </w:r>
      <w:r w:rsidRPr="00B60853">
        <w:t xml:space="preserve">aul road emissions </w:t>
      </w:r>
      <w:r>
        <w:t xml:space="preserve">is to use </w:t>
      </w:r>
      <w:r w:rsidR="00862EA9">
        <w:t>volume sources</w:t>
      </w:r>
      <w:r w:rsidR="001E6F75">
        <w:t>.</w:t>
      </w:r>
      <w:r w:rsidR="004E6145">
        <w:t xml:space="preserve"> </w:t>
      </w:r>
      <w:r w:rsidR="001E6F75">
        <w:t xml:space="preserve"> However, a</w:t>
      </w:r>
      <w:r w:rsidR="004E6145">
        <w:t xml:space="preserve">rea sources or line sources </w:t>
      </w:r>
      <w:r w:rsidRPr="00B60853">
        <w:t xml:space="preserve">can </w:t>
      </w:r>
      <w:r w:rsidR="00862EA9">
        <w:t xml:space="preserve">also </w:t>
      </w:r>
      <w:r w:rsidRPr="00B60853">
        <w:t>be used at the facility’s discretion.</w:t>
      </w:r>
    </w:p>
    <w:p w14:paraId="3F10ED1F" w14:textId="77777777" w:rsidR="00654C96" w:rsidRDefault="00654C96" w:rsidP="00CF40FF"/>
    <w:p w14:paraId="0765A032" w14:textId="77777777" w:rsidR="00862EA9" w:rsidRPr="004E6145" w:rsidRDefault="00862EA9" w:rsidP="00CF40FF">
      <w:pPr>
        <w:rPr>
          <w:u w:val="single"/>
        </w:rPr>
      </w:pPr>
      <w:r w:rsidRPr="004E6145">
        <w:rPr>
          <w:u w:val="single"/>
        </w:rPr>
        <w:t>Example using Volume Sources</w:t>
      </w:r>
    </w:p>
    <w:p w14:paraId="60BF6126" w14:textId="77777777" w:rsidR="00CF40FF" w:rsidRPr="005B3D0C" w:rsidRDefault="00CF40FF" w:rsidP="00CF40FF">
      <w:r w:rsidRPr="005B3D0C">
        <w:t xml:space="preserve">Haul roads characterized as </w:t>
      </w:r>
      <w:r>
        <w:t xml:space="preserve">a series of </w:t>
      </w:r>
      <w:r w:rsidRPr="005B3D0C">
        <w:t xml:space="preserve">volume sources </w:t>
      </w:r>
      <w:r w:rsidR="00654C96">
        <w:t xml:space="preserve">are </w:t>
      </w:r>
      <w:r w:rsidR="00862EA9">
        <w:t>calculated</w:t>
      </w:r>
      <w:r w:rsidR="00654C96">
        <w:t xml:space="preserve"> as </w:t>
      </w:r>
      <w:r w:rsidRPr="005B3D0C">
        <w:t>follows:</w:t>
      </w:r>
    </w:p>
    <w:p w14:paraId="28FED77B" w14:textId="77777777" w:rsidR="00CF40FF" w:rsidRDefault="00CF40FF" w:rsidP="00CF40FF">
      <w:pPr>
        <w:autoSpaceDE w:val="0"/>
        <w:autoSpaceDN w:val="0"/>
        <w:adjustRightInd w:val="0"/>
        <w:rPr>
          <w:rFonts w:ascii="Calibri" w:hAnsi="Calibri" w:cs="Calibri"/>
          <w:color w:val="000000"/>
        </w:rPr>
      </w:pPr>
    </w:p>
    <w:p w14:paraId="539D5A01" w14:textId="77777777" w:rsidR="00CF40FF" w:rsidRPr="00D00BB4" w:rsidRDefault="00CF40FF" w:rsidP="00CF40FF">
      <w:pPr>
        <w:autoSpaceDE w:val="0"/>
        <w:autoSpaceDN w:val="0"/>
        <w:adjustRightInd w:val="0"/>
      </w:pPr>
      <w:r w:rsidRPr="00D00BB4">
        <w:t>Top of plume height = 1.7 x vehicle height</w:t>
      </w:r>
    </w:p>
    <w:p w14:paraId="5692CDC6" w14:textId="77777777" w:rsidR="00CF40FF" w:rsidRPr="00D00BB4" w:rsidRDefault="00CF40FF" w:rsidP="00CF40FF">
      <w:pPr>
        <w:autoSpaceDE w:val="0"/>
        <w:autoSpaceDN w:val="0"/>
        <w:adjustRightInd w:val="0"/>
      </w:pPr>
      <w:r w:rsidRPr="00D00BB4">
        <w:t>Release height = 0.5 x top of plume height</w:t>
      </w:r>
    </w:p>
    <w:p w14:paraId="58ED16F8" w14:textId="77777777" w:rsidR="00CF40FF" w:rsidRPr="00D00BB4" w:rsidRDefault="00CF40FF" w:rsidP="00CF40FF">
      <w:pPr>
        <w:autoSpaceDE w:val="0"/>
        <w:autoSpaceDN w:val="0"/>
        <w:adjustRightInd w:val="0"/>
      </w:pPr>
      <w:r w:rsidRPr="00D00BB4">
        <w:t>Plume width = Vehicle width + 6 m for single lane or road width + 6 m for two-lanes</w:t>
      </w:r>
    </w:p>
    <w:p w14:paraId="1A971378" w14:textId="77777777" w:rsidR="00CF40FF" w:rsidRPr="00D00BB4" w:rsidRDefault="00CF40FF" w:rsidP="00CF40FF">
      <w:pPr>
        <w:autoSpaceDE w:val="0"/>
        <w:autoSpaceDN w:val="0"/>
        <w:adjustRightInd w:val="0"/>
      </w:pPr>
      <w:r w:rsidRPr="00D00BB4">
        <w:t>Initial lateral dimension (</w:t>
      </w:r>
      <w:proofErr w:type="spellStart"/>
      <w:r w:rsidRPr="00D00BB4">
        <w:t>σ</w:t>
      </w:r>
      <w:r w:rsidRPr="00654C96">
        <w:rPr>
          <w:vertAlign w:val="subscript"/>
        </w:rPr>
        <w:t>Y</w:t>
      </w:r>
      <w:r w:rsidRPr="00D00BB4">
        <w:t>o</w:t>
      </w:r>
      <w:proofErr w:type="spellEnd"/>
      <w:r w:rsidRPr="00D00BB4">
        <w:t>) = Width of plume / 2.15</w:t>
      </w:r>
    </w:p>
    <w:p w14:paraId="30D2A13C" w14:textId="77777777" w:rsidR="00CF40FF" w:rsidRDefault="00CF40FF" w:rsidP="00CF40FF">
      <w:r w:rsidRPr="00D00BB4">
        <w:t>Initial vertical dimension (</w:t>
      </w:r>
      <w:proofErr w:type="spellStart"/>
      <w:r w:rsidRPr="00D00BB4">
        <w:t>σ</w:t>
      </w:r>
      <w:r w:rsidRPr="00654C96">
        <w:rPr>
          <w:vertAlign w:val="subscript"/>
        </w:rPr>
        <w:t>Z</w:t>
      </w:r>
      <w:r w:rsidRPr="00D00BB4">
        <w:t>o</w:t>
      </w:r>
      <w:proofErr w:type="spellEnd"/>
      <w:r w:rsidRPr="00D00BB4">
        <w:t>) = Top of plume / 2.15</w:t>
      </w:r>
    </w:p>
    <w:p w14:paraId="1B804EF2" w14:textId="77777777" w:rsidR="00CF40FF" w:rsidRDefault="00CF40FF" w:rsidP="00CF40FF"/>
    <w:p w14:paraId="24614CB8" w14:textId="77777777" w:rsidR="00654C96" w:rsidRDefault="00654C96" w:rsidP="00CF40FF">
      <w:r>
        <w:t>The volume sources can be overlapping, adjacent, or alternating.</w:t>
      </w:r>
    </w:p>
    <w:p w14:paraId="43C8E82A" w14:textId="77777777" w:rsidR="00654C96" w:rsidRDefault="00654C96" w:rsidP="00CF40FF"/>
    <w:p w14:paraId="0D7F6B60" w14:textId="77777777" w:rsidR="00654C96" w:rsidRDefault="00654C96" w:rsidP="00CF40FF"/>
    <w:p w14:paraId="6C470CBA" w14:textId="77777777" w:rsidR="00CF40FF" w:rsidRDefault="00B81118" w:rsidP="00F203E2">
      <w:pPr>
        <w:jc w:val="center"/>
      </w:pPr>
      <w:r>
        <w:rPr>
          <w:noProof/>
        </w:rPr>
        <w:drawing>
          <wp:inline distT="0" distB="0" distL="0" distR="0" wp14:anchorId="0F0BA0D0" wp14:editId="4C250269">
            <wp:extent cx="4645152" cy="4572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l roads.jpg"/>
                    <pic:cNvPicPr/>
                  </pic:nvPicPr>
                  <pic:blipFill>
                    <a:blip r:embed="rId10">
                      <a:extLst>
                        <a:ext uri="{28A0092B-C50C-407E-A947-70E740481C1C}">
                          <a14:useLocalDpi xmlns:a14="http://schemas.microsoft.com/office/drawing/2010/main" val="0"/>
                        </a:ext>
                      </a:extLst>
                    </a:blip>
                    <a:stretch>
                      <a:fillRect/>
                    </a:stretch>
                  </pic:blipFill>
                  <pic:spPr>
                    <a:xfrm>
                      <a:off x="0" y="0"/>
                      <a:ext cx="4645152" cy="4572000"/>
                    </a:xfrm>
                    <a:prstGeom prst="rect">
                      <a:avLst/>
                    </a:prstGeom>
                  </pic:spPr>
                </pic:pic>
              </a:graphicData>
            </a:graphic>
          </wp:inline>
        </w:drawing>
      </w:r>
      <w:r w:rsidR="00CF40FF">
        <w:br w:type="page"/>
      </w:r>
    </w:p>
    <w:p w14:paraId="7CC02704" w14:textId="77777777" w:rsidR="00371AD1" w:rsidRPr="00785AB9" w:rsidRDefault="00371AD1" w:rsidP="00D511FD">
      <w:pPr>
        <w:pStyle w:val="Heading1"/>
      </w:pPr>
      <w:bookmarkStart w:id="27" w:name="_Toc489256261"/>
      <w:r w:rsidRPr="00CF40FF">
        <w:lastRenderedPageBreak/>
        <w:t>Appendix D</w:t>
      </w:r>
      <w:r w:rsidR="00D511FD">
        <w:t xml:space="preserve"> - </w:t>
      </w:r>
      <w:r w:rsidRPr="00785AB9">
        <w:t>Calculation of 30-</w:t>
      </w:r>
      <w:r w:rsidR="00F92B16">
        <w:t>M</w:t>
      </w:r>
      <w:r w:rsidRPr="00785AB9">
        <w:t xml:space="preserve">inute </w:t>
      </w:r>
      <w:r w:rsidR="00F92B16">
        <w:t>R</w:t>
      </w:r>
      <w:r w:rsidRPr="00785AB9">
        <w:t xml:space="preserve">olling </w:t>
      </w:r>
      <w:r w:rsidR="00F92B16">
        <w:t>A</w:t>
      </w:r>
      <w:r w:rsidRPr="00785AB9">
        <w:t>verage Total Reduced Sulfur (TRS)</w:t>
      </w:r>
      <w:bookmarkEnd w:id="27"/>
    </w:p>
    <w:p w14:paraId="72A5B092" w14:textId="77777777" w:rsidR="00CF40FF" w:rsidRDefault="00CF40FF"/>
    <w:p w14:paraId="5973D570" w14:textId="77777777" w:rsidR="00CF40FF" w:rsidRPr="00E14F4D" w:rsidRDefault="00CF40FF" w:rsidP="00CF40FF">
      <w:pPr>
        <w:autoSpaceDE w:val="0"/>
        <w:autoSpaceDN w:val="0"/>
      </w:pPr>
      <w:r w:rsidRPr="00E14F4D">
        <w:t xml:space="preserve">The total reduced sulfur (TRS) as </w:t>
      </w:r>
      <w:r w:rsidRPr="00745CEE">
        <w:t>hydrogen sulfide (H2S)</w:t>
      </w:r>
      <w:r w:rsidRPr="00E14F4D">
        <w:t xml:space="preserve"> as established in Title 129, Chapter 4, Section 007 is 0.10 ppm</w:t>
      </w:r>
      <w:r w:rsidR="001D3AAC">
        <w:t xml:space="preserve">, based on a </w:t>
      </w:r>
      <w:r w:rsidRPr="00E14F4D">
        <w:t>30-minute averag</w:t>
      </w:r>
      <w:r w:rsidR="001D3AAC">
        <w:t>e</w:t>
      </w:r>
      <w:r w:rsidRPr="00E14F4D">
        <w:t>.</w:t>
      </w:r>
      <w:r w:rsidR="001E6F75">
        <w:t xml:space="preserve">  </w:t>
      </w:r>
      <w:r w:rsidRPr="00E14F4D">
        <w:t>The 30-minute results can be calculated from the 1-hour average (AERMOD or AERSCREEN) results by using the “1/5th Power Law”, as described in Appendix H of the September 2005 NDEQ Atmospheric Dispersion Modeling Guidance for Permits document</w:t>
      </w:r>
      <w:r w:rsidR="003C3872" w:rsidRPr="00E14F4D">
        <w:t xml:space="preserve">.  </w:t>
      </w:r>
      <w:r w:rsidRPr="00E14F4D">
        <w:t>The equation for this conversion is as follows:</w:t>
      </w:r>
    </w:p>
    <w:p w14:paraId="4BD00207" w14:textId="77777777" w:rsidR="00CF40FF" w:rsidRPr="00E14F4D" w:rsidRDefault="00CF40FF" w:rsidP="00CF40FF">
      <w:pPr>
        <w:autoSpaceDE w:val="0"/>
        <w:autoSpaceDN w:val="0"/>
      </w:pPr>
    </w:p>
    <w:p w14:paraId="05EAA64E" w14:textId="77777777" w:rsidR="00CF40FF" w:rsidRPr="00E14F4D" w:rsidRDefault="00CF40FF" w:rsidP="00785AB9">
      <w:pPr>
        <w:autoSpaceDE w:val="0"/>
        <w:autoSpaceDN w:val="0"/>
        <w:ind w:left="720"/>
        <w:rPr>
          <w:vertAlign w:val="superscript"/>
        </w:rPr>
      </w:pPr>
      <w:r w:rsidRPr="00E14F4D">
        <w:t>C</w:t>
      </w:r>
      <w:r w:rsidRPr="00E14F4D">
        <w:rPr>
          <w:vertAlign w:val="subscript"/>
        </w:rPr>
        <w:t>l</w:t>
      </w:r>
      <w:r w:rsidRPr="00E14F4D">
        <w:t>/Cs = (</w:t>
      </w:r>
      <w:proofErr w:type="spellStart"/>
      <w:r w:rsidRPr="00E14F4D">
        <w:t>ts</w:t>
      </w:r>
      <w:proofErr w:type="spellEnd"/>
      <w:r w:rsidRPr="00E14F4D">
        <w:t>/</w:t>
      </w:r>
      <w:proofErr w:type="spellStart"/>
      <w:r w:rsidRPr="00E14F4D">
        <w:t>t</w:t>
      </w:r>
      <w:r w:rsidRPr="00E14F4D">
        <w:rPr>
          <w:vertAlign w:val="subscript"/>
        </w:rPr>
        <w:t>l</w:t>
      </w:r>
      <w:proofErr w:type="spellEnd"/>
      <w:r w:rsidRPr="00E14F4D">
        <w:t>)</w:t>
      </w:r>
      <w:r w:rsidRPr="00E14F4D">
        <w:rPr>
          <w:vertAlign w:val="superscript"/>
        </w:rPr>
        <w:t xml:space="preserve"> 1/5</w:t>
      </w:r>
    </w:p>
    <w:p w14:paraId="15FAB70F" w14:textId="77777777" w:rsidR="001E6F75" w:rsidRDefault="001E6F75" w:rsidP="00CF40FF">
      <w:pPr>
        <w:autoSpaceDE w:val="0"/>
        <w:autoSpaceDN w:val="0"/>
      </w:pPr>
    </w:p>
    <w:p w14:paraId="4E4D812E" w14:textId="77777777" w:rsidR="00E21085" w:rsidRDefault="00CF40FF" w:rsidP="00785AB9">
      <w:pPr>
        <w:autoSpaceDE w:val="0"/>
        <w:autoSpaceDN w:val="0"/>
        <w:ind w:firstLine="720"/>
      </w:pPr>
      <w:r w:rsidRPr="00E14F4D">
        <w:t>where:</w:t>
      </w:r>
    </w:p>
    <w:p w14:paraId="0E61AD89" w14:textId="77777777" w:rsidR="00CF40FF" w:rsidRPr="00E14F4D" w:rsidRDefault="00CF40FF" w:rsidP="00785AB9">
      <w:pPr>
        <w:autoSpaceDE w:val="0"/>
        <w:autoSpaceDN w:val="0"/>
        <w:ind w:firstLine="720"/>
      </w:pPr>
      <w:r w:rsidRPr="00E14F4D">
        <w:t>C</w:t>
      </w:r>
      <w:r w:rsidRPr="00E14F4D">
        <w:rPr>
          <w:vertAlign w:val="subscript"/>
        </w:rPr>
        <w:t>l</w:t>
      </w:r>
      <w:r w:rsidRPr="00E14F4D">
        <w:t xml:space="preserve"> = concentration estimate for sampling time, </w:t>
      </w:r>
      <w:proofErr w:type="spellStart"/>
      <w:r w:rsidRPr="00E14F4D">
        <w:t>t</w:t>
      </w:r>
      <w:r w:rsidRPr="00E14F4D">
        <w:rPr>
          <w:vertAlign w:val="subscript"/>
        </w:rPr>
        <w:t>l</w:t>
      </w:r>
      <w:proofErr w:type="spellEnd"/>
    </w:p>
    <w:p w14:paraId="544B22DB" w14:textId="77777777" w:rsidR="00CF40FF" w:rsidRPr="00E14F4D" w:rsidRDefault="00CF40FF" w:rsidP="00CF40FF">
      <w:pPr>
        <w:autoSpaceDE w:val="0"/>
        <w:autoSpaceDN w:val="0"/>
        <w:ind w:left="720"/>
      </w:pPr>
      <w:r w:rsidRPr="00E14F4D">
        <w:t xml:space="preserve">Cs = concentration estimate for shorter sampling time, </w:t>
      </w:r>
      <w:proofErr w:type="spellStart"/>
      <w:r w:rsidRPr="00E14F4D">
        <w:t>ts</w:t>
      </w:r>
      <w:proofErr w:type="spellEnd"/>
    </w:p>
    <w:p w14:paraId="61850D57" w14:textId="77777777" w:rsidR="00CF40FF" w:rsidRPr="00E14F4D" w:rsidRDefault="00CF40FF" w:rsidP="00CF40FF">
      <w:pPr>
        <w:autoSpaceDE w:val="0"/>
        <w:autoSpaceDN w:val="0"/>
      </w:pPr>
    </w:p>
    <w:p w14:paraId="485D9E05" w14:textId="77777777" w:rsidR="00CF40FF" w:rsidRDefault="00CF40FF" w:rsidP="00CF40FF">
      <w:pPr>
        <w:autoSpaceDE w:val="0"/>
        <w:autoSpaceDN w:val="0"/>
      </w:pPr>
      <w:r w:rsidRPr="00E14F4D">
        <w:t xml:space="preserve">For </w:t>
      </w:r>
      <w:proofErr w:type="spellStart"/>
      <w:r w:rsidRPr="00E14F4D">
        <w:t>t</w:t>
      </w:r>
      <w:r w:rsidRPr="00E14F4D">
        <w:rPr>
          <w:vertAlign w:val="subscript"/>
        </w:rPr>
        <w:t>l</w:t>
      </w:r>
      <w:proofErr w:type="spellEnd"/>
      <w:r w:rsidRPr="00E14F4D">
        <w:rPr>
          <w:vertAlign w:val="subscript"/>
        </w:rPr>
        <w:t xml:space="preserve"> </w:t>
      </w:r>
      <w:r w:rsidRPr="00E14F4D">
        <w:t xml:space="preserve">= 60 minutes and </w:t>
      </w:r>
      <w:proofErr w:type="spellStart"/>
      <w:r w:rsidRPr="00E14F4D">
        <w:t>ts</w:t>
      </w:r>
      <w:proofErr w:type="spellEnd"/>
      <w:r w:rsidRPr="00E14F4D">
        <w:t xml:space="preserve"> = 30 minutes, the conversion from modeled results (C</w:t>
      </w:r>
      <w:r w:rsidRPr="00E14F4D">
        <w:rPr>
          <w:vertAlign w:val="subscript"/>
        </w:rPr>
        <w:t>l</w:t>
      </w:r>
      <w:r w:rsidRPr="00E14F4D">
        <w:t>) to NDEQ TRS AAQS results (Cs) is</w:t>
      </w:r>
      <w:r w:rsidR="00E21085">
        <w:t>:</w:t>
      </w:r>
    </w:p>
    <w:p w14:paraId="4A83F05F" w14:textId="77777777" w:rsidR="00E21085" w:rsidRPr="00E14F4D" w:rsidRDefault="00E21085" w:rsidP="00CF40FF">
      <w:pPr>
        <w:autoSpaceDE w:val="0"/>
        <w:autoSpaceDN w:val="0"/>
      </w:pPr>
    </w:p>
    <w:p w14:paraId="42A93C16" w14:textId="77777777" w:rsidR="00CF40FF" w:rsidRPr="00E14F4D" w:rsidRDefault="00CF40FF" w:rsidP="00CF40FF">
      <w:pPr>
        <w:ind w:left="720"/>
      </w:pPr>
      <w:r w:rsidRPr="00E14F4D">
        <w:t>Cs = C</w:t>
      </w:r>
      <w:r w:rsidRPr="00E14F4D">
        <w:rPr>
          <w:vertAlign w:val="subscript"/>
        </w:rPr>
        <w:t>l</w:t>
      </w:r>
      <w:r w:rsidR="00E21085">
        <w:rPr>
          <w:vertAlign w:val="subscript"/>
        </w:rPr>
        <w:t xml:space="preserve"> </w:t>
      </w:r>
      <w:r w:rsidRPr="00E14F4D">
        <w:t>/</w:t>
      </w:r>
      <w:r w:rsidR="00E21085">
        <w:t xml:space="preserve"> </w:t>
      </w:r>
      <w:r w:rsidRPr="00E14F4D">
        <w:t>[(30/60)</w:t>
      </w:r>
      <w:r w:rsidRPr="00E14F4D">
        <w:rPr>
          <w:vertAlign w:val="superscript"/>
        </w:rPr>
        <w:t>1/5</w:t>
      </w:r>
      <w:r w:rsidRPr="00E14F4D">
        <w:t>]</w:t>
      </w:r>
    </w:p>
    <w:p w14:paraId="7172EE15" w14:textId="77777777" w:rsidR="00CF40FF" w:rsidRPr="00E14F4D" w:rsidRDefault="00CF40FF" w:rsidP="00CF40FF">
      <w:pPr>
        <w:ind w:left="720"/>
      </w:pPr>
      <w:r w:rsidRPr="00E14F4D">
        <w:t>or</w:t>
      </w:r>
    </w:p>
    <w:p w14:paraId="61249084" w14:textId="77777777" w:rsidR="00CF40FF" w:rsidRPr="00E14F4D" w:rsidRDefault="00CF40FF" w:rsidP="00CF40FF">
      <w:pPr>
        <w:autoSpaceDE w:val="0"/>
        <w:autoSpaceDN w:val="0"/>
        <w:ind w:left="720"/>
        <w:rPr>
          <w:color w:val="000000"/>
        </w:rPr>
      </w:pPr>
      <w:r w:rsidRPr="00E14F4D">
        <w:rPr>
          <w:color w:val="000000"/>
        </w:rPr>
        <w:t>Cs = 1.15 C</w:t>
      </w:r>
      <w:r w:rsidRPr="00E14F4D">
        <w:rPr>
          <w:color w:val="000000"/>
          <w:vertAlign w:val="subscript"/>
        </w:rPr>
        <w:t>l</w:t>
      </w:r>
    </w:p>
    <w:p w14:paraId="52C8FF94" w14:textId="77777777" w:rsidR="00CF40FF" w:rsidRPr="00E14F4D" w:rsidRDefault="00CF40FF" w:rsidP="00CF40FF">
      <w:pPr>
        <w:autoSpaceDE w:val="0"/>
        <w:autoSpaceDN w:val="0"/>
        <w:rPr>
          <w:color w:val="000000"/>
        </w:rPr>
      </w:pPr>
    </w:p>
    <w:p w14:paraId="0401B2A0" w14:textId="77777777" w:rsidR="00CF40FF" w:rsidRDefault="00CF40FF" w:rsidP="00CF40FF">
      <w:pPr>
        <w:autoSpaceDE w:val="0"/>
        <w:autoSpaceDN w:val="0"/>
        <w:rPr>
          <w:color w:val="000000"/>
        </w:rPr>
      </w:pPr>
      <w:r w:rsidRPr="00E14F4D">
        <w:rPr>
          <w:color w:val="000000"/>
        </w:rPr>
        <w:t xml:space="preserve">To convert </w:t>
      </w:r>
      <w:r w:rsidRPr="00E14F4D">
        <w:t>µg/m</w:t>
      </w:r>
      <w:r w:rsidRPr="00E14F4D">
        <w:rPr>
          <w:vertAlign w:val="superscript"/>
        </w:rPr>
        <w:t>3</w:t>
      </w:r>
      <w:r w:rsidRPr="00E14F4D">
        <w:rPr>
          <w:color w:val="000000"/>
        </w:rPr>
        <w:t xml:space="preserve"> to ppm, the equation is:</w:t>
      </w:r>
    </w:p>
    <w:p w14:paraId="502E6024" w14:textId="77777777" w:rsidR="00E21085" w:rsidRPr="00E14F4D" w:rsidRDefault="00E21085" w:rsidP="00CF40FF">
      <w:pPr>
        <w:autoSpaceDE w:val="0"/>
        <w:autoSpaceDN w:val="0"/>
        <w:rPr>
          <w:color w:val="000000"/>
        </w:rPr>
      </w:pPr>
    </w:p>
    <w:p w14:paraId="1E2B31E0" w14:textId="77777777" w:rsidR="00CF40FF" w:rsidRDefault="00CF40FF" w:rsidP="00785AB9">
      <w:pPr>
        <w:autoSpaceDE w:val="0"/>
        <w:autoSpaceDN w:val="0"/>
        <w:ind w:left="720"/>
        <w:rPr>
          <w:color w:val="000000"/>
        </w:rPr>
      </w:pPr>
      <w:r w:rsidRPr="00E14F4D">
        <w:rPr>
          <w:color w:val="000000"/>
        </w:rPr>
        <w:t xml:space="preserve">ppm = </w:t>
      </w:r>
      <w:r w:rsidR="00E21085" w:rsidRPr="00E21085">
        <w:rPr>
          <w:color w:val="000000"/>
        </w:rPr>
        <w:t>[</w:t>
      </w:r>
      <w:r w:rsidRPr="00785AB9">
        <w:rPr>
          <w:color w:val="000000"/>
        </w:rPr>
        <w:t>(Cs</w:t>
      </w:r>
      <w:proofErr w:type="gramStart"/>
      <w:r w:rsidRPr="00785AB9">
        <w:rPr>
          <w:color w:val="000000"/>
        </w:rPr>
        <w:t>)(</w:t>
      </w:r>
      <w:proofErr w:type="gramEnd"/>
      <w:r w:rsidRPr="00785AB9">
        <w:rPr>
          <w:color w:val="000000"/>
        </w:rPr>
        <w:t>24.5)</w:t>
      </w:r>
      <w:r w:rsidR="00E21085" w:rsidRPr="00785AB9">
        <w:rPr>
          <w:color w:val="000000"/>
        </w:rPr>
        <w:t xml:space="preserve">] / </w:t>
      </w:r>
      <w:r w:rsidR="00E21085" w:rsidRPr="00E21085">
        <w:rPr>
          <w:color w:val="000000"/>
        </w:rPr>
        <w:t>[</w:t>
      </w:r>
      <w:r w:rsidRPr="00E21085">
        <w:rPr>
          <w:color w:val="000000"/>
        </w:rPr>
        <w:t>(MW</w:t>
      </w:r>
      <w:r w:rsidRPr="00E14F4D">
        <w:rPr>
          <w:color w:val="000000"/>
        </w:rPr>
        <w:t>)(1000)</w:t>
      </w:r>
      <w:r w:rsidR="00E21085">
        <w:rPr>
          <w:color w:val="000000"/>
        </w:rPr>
        <w:t>]</w:t>
      </w:r>
    </w:p>
    <w:p w14:paraId="7A252E52" w14:textId="77777777" w:rsidR="00E21085" w:rsidRDefault="00E21085" w:rsidP="00E21085">
      <w:pPr>
        <w:autoSpaceDE w:val="0"/>
        <w:autoSpaceDN w:val="0"/>
        <w:rPr>
          <w:color w:val="000000"/>
        </w:rPr>
      </w:pPr>
    </w:p>
    <w:p w14:paraId="7F6EF8B8" w14:textId="77777777" w:rsidR="00E21085" w:rsidRDefault="00CF40FF" w:rsidP="00785AB9">
      <w:pPr>
        <w:autoSpaceDE w:val="0"/>
        <w:autoSpaceDN w:val="0"/>
        <w:ind w:firstLine="720"/>
        <w:rPr>
          <w:color w:val="000000"/>
        </w:rPr>
      </w:pPr>
      <w:r w:rsidRPr="00E14F4D">
        <w:rPr>
          <w:color w:val="000000"/>
        </w:rPr>
        <w:t>where:</w:t>
      </w:r>
    </w:p>
    <w:p w14:paraId="5F48B1A3" w14:textId="77777777" w:rsidR="00E21085" w:rsidRDefault="00E21085" w:rsidP="00785AB9">
      <w:pPr>
        <w:autoSpaceDE w:val="0"/>
        <w:autoSpaceDN w:val="0"/>
        <w:ind w:firstLine="720"/>
        <w:rPr>
          <w:color w:val="000000"/>
        </w:rPr>
      </w:pPr>
      <w:r>
        <w:rPr>
          <w:color w:val="000000"/>
        </w:rPr>
        <w:t>C</w:t>
      </w:r>
      <w:r w:rsidR="00CF40FF" w:rsidRPr="00E14F4D">
        <w:rPr>
          <w:color w:val="000000"/>
        </w:rPr>
        <w:t>s = 30-minute concentration calculated above, expressed in micrograms per cubic meter</w:t>
      </w:r>
    </w:p>
    <w:p w14:paraId="02D3B1BB" w14:textId="77777777" w:rsidR="00CF40FF" w:rsidRPr="00E14F4D" w:rsidRDefault="00CF40FF" w:rsidP="00785AB9">
      <w:pPr>
        <w:autoSpaceDE w:val="0"/>
        <w:autoSpaceDN w:val="0"/>
        <w:ind w:left="720"/>
        <w:rPr>
          <w:color w:val="000000"/>
        </w:rPr>
      </w:pPr>
      <w:r w:rsidRPr="00E14F4D">
        <w:rPr>
          <w:color w:val="000000"/>
        </w:rPr>
        <w:t>MW = molecular weight of the compounds, expressed in terms of hydrogen sulfide (MW</w:t>
      </w:r>
      <w:r w:rsidRPr="00E14F4D">
        <w:rPr>
          <w:color w:val="000000"/>
          <w:vertAlign w:val="subscript"/>
        </w:rPr>
        <w:t>H2S</w:t>
      </w:r>
      <w:r w:rsidRPr="00E14F4D">
        <w:rPr>
          <w:color w:val="000000"/>
        </w:rPr>
        <w:t xml:space="preserve"> = 34.08 gram/gram-mole)</w:t>
      </w:r>
    </w:p>
    <w:p w14:paraId="0E55FB8C" w14:textId="77777777" w:rsidR="004C191A" w:rsidRDefault="004C191A" w:rsidP="00CF40FF">
      <w:pPr>
        <w:autoSpaceDE w:val="0"/>
        <w:autoSpaceDN w:val="0"/>
        <w:rPr>
          <w:color w:val="000000"/>
        </w:rPr>
      </w:pPr>
      <w:r>
        <w:rPr>
          <w:color w:val="000000"/>
        </w:rPr>
        <w:tab/>
      </w:r>
    </w:p>
    <w:p w14:paraId="139FEE93" w14:textId="77777777" w:rsidR="00CF40FF" w:rsidRPr="00E14F4D" w:rsidRDefault="004C191A" w:rsidP="00CF40FF">
      <w:pPr>
        <w:autoSpaceDE w:val="0"/>
        <w:autoSpaceDN w:val="0"/>
        <w:rPr>
          <w:color w:val="000000"/>
        </w:rPr>
      </w:pPr>
      <w:r>
        <w:rPr>
          <w:color w:val="000000"/>
        </w:rPr>
        <w:tab/>
      </w:r>
      <w:r w:rsidR="00CF40FF" w:rsidRPr="00E14F4D">
        <w:rPr>
          <w:color w:val="000000"/>
        </w:rPr>
        <w:t xml:space="preserve">ppm = </w:t>
      </w:r>
      <w:r w:rsidR="00F92B16" w:rsidRPr="00F92B16">
        <w:rPr>
          <w:color w:val="000000"/>
        </w:rPr>
        <w:t>[</w:t>
      </w:r>
      <w:r w:rsidR="00CF40FF" w:rsidRPr="00785AB9">
        <w:rPr>
          <w:color w:val="000000"/>
        </w:rPr>
        <w:t>(Cs</w:t>
      </w:r>
      <w:proofErr w:type="gramStart"/>
      <w:r w:rsidR="00CF40FF" w:rsidRPr="00785AB9">
        <w:rPr>
          <w:color w:val="000000"/>
        </w:rPr>
        <w:t>)(</w:t>
      </w:r>
      <w:proofErr w:type="gramEnd"/>
      <w:r w:rsidR="00CF40FF" w:rsidRPr="00785AB9">
        <w:rPr>
          <w:color w:val="000000"/>
        </w:rPr>
        <w:t>24.5)</w:t>
      </w:r>
      <w:r w:rsidR="00F92B16" w:rsidRPr="00785AB9">
        <w:rPr>
          <w:color w:val="000000"/>
        </w:rPr>
        <w:t xml:space="preserve">] / </w:t>
      </w:r>
      <w:r w:rsidR="00F92B16" w:rsidRPr="00F92B16">
        <w:rPr>
          <w:color w:val="000000"/>
        </w:rPr>
        <w:t>[</w:t>
      </w:r>
      <w:r w:rsidR="00CF40FF" w:rsidRPr="00F92B16">
        <w:rPr>
          <w:color w:val="000000"/>
        </w:rPr>
        <w:t>(34.08)(1000)</w:t>
      </w:r>
      <w:r w:rsidR="00F92B16" w:rsidRPr="00F92B16">
        <w:rPr>
          <w:color w:val="000000"/>
        </w:rPr>
        <w:t>]</w:t>
      </w:r>
      <w:r w:rsidR="00F92B16">
        <w:rPr>
          <w:color w:val="000000"/>
        </w:rPr>
        <w:t xml:space="preserve"> </w:t>
      </w:r>
      <w:r w:rsidR="00CF40FF" w:rsidRPr="00E14F4D">
        <w:rPr>
          <w:color w:val="000000"/>
        </w:rPr>
        <w:t>= (0.00072)(Cs)</w:t>
      </w:r>
    </w:p>
    <w:p w14:paraId="7990372B" w14:textId="77777777" w:rsidR="00CF40FF" w:rsidRPr="00E14F4D" w:rsidRDefault="00CF40FF" w:rsidP="00CF40FF">
      <w:pPr>
        <w:autoSpaceDE w:val="0"/>
        <w:autoSpaceDN w:val="0"/>
        <w:rPr>
          <w:color w:val="000000"/>
        </w:rPr>
      </w:pPr>
    </w:p>
    <w:p w14:paraId="2CA16E8C" w14:textId="77777777" w:rsidR="00CF40FF" w:rsidRPr="00E14F4D" w:rsidRDefault="00CF40FF" w:rsidP="00CF40FF">
      <w:pPr>
        <w:autoSpaceDE w:val="0"/>
        <w:autoSpaceDN w:val="0"/>
        <w:rPr>
          <w:color w:val="000000"/>
        </w:rPr>
      </w:pPr>
      <w:r w:rsidRPr="00E14F4D">
        <w:rPr>
          <w:color w:val="000000"/>
        </w:rPr>
        <w:t xml:space="preserve">Results should be reported in a Table, </w:t>
      </w:r>
      <w:r w:rsidR="00F92B16">
        <w:rPr>
          <w:color w:val="000000"/>
        </w:rPr>
        <w:t xml:space="preserve">see </w:t>
      </w:r>
      <w:r w:rsidRPr="00E14F4D">
        <w:rPr>
          <w:color w:val="000000"/>
        </w:rPr>
        <w:t>example below</w:t>
      </w:r>
      <w:r w:rsidR="00F92B16">
        <w:rPr>
          <w:color w:val="000000"/>
        </w:rPr>
        <w:t>:</w:t>
      </w:r>
    </w:p>
    <w:p w14:paraId="481AC980" w14:textId="77777777" w:rsidR="00CF40FF" w:rsidRPr="00E14F4D" w:rsidRDefault="00CF40FF" w:rsidP="00CF40FF">
      <w:pPr>
        <w:rPr>
          <w:b/>
          <w:bCs/>
          <w:color w:val="FFFFFF"/>
        </w:rPr>
      </w:pPr>
      <w:r w:rsidRPr="00E14F4D">
        <w:rPr>
          <w:b/>
          <w:bCs/>
          <w:color w:val="FFFFFF"/>
        </w:rPr>
        <w:t>Table</w:t>
      </w:r>
    </w:p>
    <w:tbl>
      <w:tblPr>
        <w:tblW w:w="0" w:type="auto"/>
        <w:tblCellMar>
          <w:left w:w="0" w:type="dxa"/>
          <w:right w:w="0" w:type="dxa"/>
        </w:tblCellMar>
        <w:tblLook w:val="04A0" w:firstRow="1" w:lastRow="0" w:firstColumn="1" w:lastColumn="0" w:noHBand="0" w:noVBand="1"/>
      </w:tblPr>
      <w:tblGrid>
        <w:gridCol w:w="1368"/>
        <w:gridCol w:w="1368"/>
        <w:gridCol w:w="1368"/>
        <w:gridCol w:w="1368"/>
        <w:gridCol w:w="1368"/>
        <w:gridCol w:w="1368"/>
        <w:gridCol w:w="1368"/>
      </w:tblGrid>
      <w:tr w:rsidR="00CF40FF" w:rsidRPr="00E14F4D" w14:paraId="4A7BA65C" w14:textId="77777777" w:rsidTr="002E38FB">
        <w:tc>
          <w:tcPr>
            <w:tcW w:w="136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46B108C5" w14:textId="77777777" w:rsidR="00CF40FF" w:rsidRPr="00E14F4D" w:rsidRDefault="00CF40FF" w:rsidP="002E38FB">
            <w:pPr>
              <w:jc w:val="center"/>
              <w:rPr>
                <w:rFonts w:eastAsiaTheme="minorHAnsi"/>
              </w:rPr>
            </w:pPr>
            <w:r w:rsidRPr="00E14F4D">
              <w:t>Emission Unit(s)</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10AA3C2B" w14:textId="77777777" w:rsidR="00CF40FF" w:rsidRPr="00E14F4D" w:rsidRDefault="00CF40FF" w:rsidP="002E38FB">
            <w:pPr>
              <w:jc w:val="center"/>
              <w:rPr>
                <w:rFonts w:eastAsiaTheme="minorHAnsi"/>
              </w:rPr>
            </w:pPr>
            <w:r w:rsidRPr="00E14F4D">
              <w:t>XUTM</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DD305D9" w14:textId="77777777" w:rsidR="00CF40FF" w:rsidRPr="00E14F4D" w:rsidRDefault="00CF40FF" w:rsidP="002E38FB">
            <w:pPr>
              <w:jc w:val="center"/>
              <w:rPr>
                <w:rFonts w:eastAsiaTheme="minorHAnsi"/>
              </w:rPr>
            </w:pPr>
            <w:r w:rsidRPr="00E14F4D">
              <w:t>YUTM (m)</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9459EE" w14:textId="77777777" w:rsidR="00CF40FF" w:rsidRPr="00E14F4D" w:rsidRDefault="00CF40FF" w:rsidP="002E38FB">
            <w:pPr>
              <w:jc w:val="center"/>
              <w:rPr>
                <w:rFonts w:eastAsiaTheme="minorHAnsi"/>
              </w:rPr>
            </w:pPr>
            <w:r w:rsidRPr="00E14F4D">
              <w:t>Modeled Impact for 60-minutes</w:t>
            </w:r>
          </w:p>
        </w:tc>
        <w:tc>
          <w:tcPr>
            <w:tcW w:w="2736"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7D4AE24A" w14:textId="77777777" w:rsidR="00CF40FF" w:rsidRPr="00E14F4D" w:rsidRDefault="00CF40FF" w:rsidP="002E38FB">
            <w:pPr>
              <w:jc w:val="center"/>
              <w:rPr>
                <w:rFonts w:eastAsiaTheme="minorHAnsi"/>
              </w:rPr>
            </w:pPr>
            <w:r w:rsidRPr="00E14F4D">
              <w:t>1/5 Power Law Corrected to 30-minute</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CD82120" w14:textId="77777777" w:rsidR="00CF40FF" w:rsidRPr="00E14F4D" w:rsidRDefault="00CF40FF" w:rsidP="002E38FB">
            <w:pPr>
              <w:jc w:val="center"/>
              <w:rPr>
                <w:rFonts w:eastAsiaTheme="minorHAnsi"/>
              </w:rPr>
            </w:pPr>
            <w:r w:rsidRPr="00E14F4D">
              <w:t>NE TRS Standard</w:t>
            </w:r>
          </w:p>
        </w:tc>
      </w:tr>
      <w:tr w:rsidR="00CF40FF" w:rsidRPr="00E14F4D" w14:paraId="6E20E69F" w14:textId="77777777" w:rsidTr="002E38FB">
        <w:tc>
          <w:tcPr>
            <w:tcW w:w="0" w:type="auto"/>
            <w:vMerge/>
            <w:tcBorders>
              <w:top w:val="single" w:sz="8" w:space="0" w:color="auto"/>
              <w:left w:val="single" w:sz="8" w:space="0" w:color="auto"/>
              <w:bottom w:val="single" w:sz="8" w:space="0" w:color="auto"/>
              <w:right w:val="single" w:sz="8" w:space="0" w:color="auto"/>
            </w:tcBorders>
            <w:vAlign w:val="center"/>
            <w:hideMark/>
          </w:tcPr>
          <w:p w14:paraId="04A9FA2E" w14:textId="77777777" w:rsidR="00CF40FF" w:rsidRPr="00E14F4D" w:rsidRDefault="00CF40FF" w:rsidP="002E38FB">
            <w:pPr>
              <w:rPr>
                <w:rFonts w:eastAsiaTheme="minorHAnsi"/>
              </w:rPr>
            </w:pPr>
          </w:p>
        </w:tc>
        <w:tc>
          <w:tcPr>
            <w:tcW w:w="1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7EF79A0" w14:textId="77777777" w:rsidR="00CF40FF" w:rsidRPr="00E14F4D" w:rsidRDefault="00CF40FF" w:rsidP="002E38FB">
            <w:pPr>
              <w:jc w:val="center"/>
              <w:rPr>
                <w:rFonts w:eastAsiaTheme="minorHAnsi"/>
              </w:rPr>
            </w:pPr>
            <w:r w:rsidRPr="00E14F4D">
              <w:t>(m)</w:t>
            </w:r>
          </w:p>
        </w:tc>
        <w:tc>
          <w:tcPr>
            <w:tcW w:w="1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919AA79" w14:textId="77777777" w:rsidR="00CF40FF" w:rsidRPr="00E14F4D" w:rsidRDefault="00CF40FF" w:rsidP="002E38FB">
            <w:pPr>
              <w:jc w:val="center"/>
              <w:rPr>
                <w:rFonts w:eastAsiaTheme="minorHAnsi"/>
              </w:rPr>
            </w:pPr>
            <w:r w:rsidRPr="00E14F4D">
              <w:t>(m)</w:t>
            </w:r>
          </w:p>
        </w:tc>
        <w:tc>
          <w:tcPr>
            <w:tcW w:w="1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8AD920A" w14:textId="77777777" w:rsidR="00CF40FF" w:rsidRPr="00E14F4D" w:rsidRDefault="00CF40FF" w:rsidP="002E38FB">
            <w:pPr>
              <w:jc w:val="center"/>
              <w:rPr>
                <w:rFonts w:eastAsiaTheme="minorHAnsi"/>
              </w:rPr>
            </w:pPr>
            <w:r w:rsidRPr="00E14F4D">
              <w:t>(µg/m</w:t>
            </w:r>
            <w:r w:rsidRPr="00E14F4D">
              <w:rPr>
                <w:vertAlign w:val="superscript"/>
              </w:rPr>
              <w:t>3</w:t>
            </w:r>
            <w:r w:rsidRPr="00E14F4D">
              <w:t>)</w:t>
            </w:r>
          </w:p>
        </w:tc>
        <w:tc>
          <w:tcPr>
            <w:tcW w:w="1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5C8584E" w14:textId="77777777" w:rsidR="00CF40FF" w:rsidRPr="00E14F4D" w:rsidRDefault="00CF40FF" w:rsidP="002E38FB">
            <w:pPr>
              <w:jc w:val="center"/>
              <w:rPr>
                <w:rFonts w:eastAsiaTheme="minorHAnsi"/>
              </w:rPr>
            </w:pPr>
            <w:r w:rsidRPr="00E14F4D">
              <w:t>(µg/m</w:t>
            </w:r>
            <w:r w:rsidRPr="00E14F4D">
              <w:rPr>
                <w:vertAlign w:val="superscript"/>
              </w:rPr>
              <w:t>3</w:t>
            </w:r>
            <w:r w:rsidRPr="00E14F4D">
              <w:t>)</w:t>
            </w:r>
          </w:p>
        </w:tc>
        <w:tc>
          <w:tcPr>
            <w:tcW w:w="1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1F09DE7" w14:textId="77777777" w:rsidR="00CF40FF" w:rsidRPr="00E14F4D" w:rsidRDefault="00CF40FF" w:rsidP="002E38FB">
            <w:pPr>
              <w:jc w:val="center"/>
              <w:rPr>
                <w:rFonts w:eastAsiaTheme="minorHAnsi"/>
              </w:rPr>
            </w:pPr>
            <w:r w:rsidRPr="00E14F4D">
              <w:t>(ppm)</w:t>
            </w:r>
          </w:p>
        </w:tc>
        <w:tc>
          <w:tcPr>
            <w:tcW w:w="1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6E65A3F" w14:textId="77777777" w:rsidR="00CF40FF" w:rsidRPr="00E14F4D" w:rsidRDefault="00CF40FF" w:rsidP="002E38FB">
            <w:pPr>
              <w:jc w:val="center"/>
              <w:rPr>
                <w:rFonts w:eastAsiaTheme="minorHAnsi"/>
              </w:rPr>
            </w:pPr>
            <w:r w:rsidRPr="00E14F4D">
              <w:t>(ppm)</w:t>
            </w:r>
          </w:p>
        </w:tc>
      </w:tr>
      <w:tr w:rsidR="00CF40FF" w:rsidRPr="00E14F4D" w14:paraId="0DFDE48D" w14:textId="77777777" w:rsidTr="002E38FB">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3C4364" w14:textId="77777777" w:rsidR="00CF40FF" w:rsidRPr="00E14F4D" w:rsidRDefault="00CF40FF" w:rsidP="002E38FB">
            <w:pPr>
              <w:jc w:val="center"/>
              <w:rPr>
                <w:rFonts w:eastAsiaTheme="minorHAns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5F2473E" w14:textId="77777777" w:rsidR="00CF40FF" w:rsidRPr="00E14F4D" w:rsidRDefault="00CF40FF" w:rsidP="002E38FB">
            <w:pPr>
              <w:jc w:val="center"/>
              <w:rPr>
                <w:rFonts w:eastAsiaTheme="minorHAns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AA3EF5C" w14:textId="77777777" w:rsidR="00CF40FF" w:rsidRPr="00E14F4D" w:rsidRDefault="00CF40FF" w:rsidP="002E38FB">
            <w:pPr>
              <w:jc w:val="center"/>
              <w:rPr>
                <w:rFonts w:eastAsiaTheme="minorHAns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E229474" w14:textId="77777777" w:rsidR="00CF40FF" w:rsidRPr="00E14F4D" w:rsidRDefault="00CF40FF" w:rsidP="002E38FB">
            <w:pPr>
              <w:jc w:val="center"/>
              <w:rPr>
                <w:rFonts w:eastAsiaTheme="minorHAns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A6260C" w14:textId="77777777" w:rsidR="00CF40FF" w:rsidRPr="00E14F4D" w:rsidRDefault="00CF40FF" w:rsidP="002E38FB">
            <w:pPr>
              <w:jc w:val="center"/>
              <w:rPr>
                <w:rFonts w:eastAsiaTheme="minorHAns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40E503B" w14:textId="77777777" w:rsidR="00CF40FF" w:rsidRPr="00E14F4D" w:rsidRDefault="00CF40FF" w:rsidP="002E38FB">
            <w:pPr>
              <w:jc w:val="center"/>
              <w:rPr>
                <w:rFonts w:eastAsiaTheme="minorHAns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428D846" w14:textId="77777777" w:rsidR="00CF40FF" w:rsidRPr="00E14F4D" w:rsidRDefault="00CF40FF" w:rsidP="002E38FB">
            <w:pPr>
              <w:jc w:val="center"/>
              <w:rPr>
                <w:rFonts w:eastAsiaTheme="minorHAnsi"/>
              </w:rPr>
            </w:pPr>
            <w:r w:rsidRPr="00E14F4D">
              <w:t>0.10</w:t>
            </w:r>
          </w:p>
        </w:tc>
      </w:tr>
    </w:tbl>
    <w:p w14:paraId="6035B702" w14:textId="77777777" w:rsidR="00CF40FF" w:rsidRPr="00E14F4D" w:rsidRDefault="00CF40FF" w:rsidP="00CF40FF">
      <w:pPr>
        <w:rPr>
          <w:rFonts w:eastAsiaTheme="minorHAnsi"/>
        </w:rPr>
      </w:pPr>
    </w:p>
    <w:p w14:paraId="07BAB400" w14:textId="77777777" w:rsidR="00CF40FF" w:rsidRDefault="00CF40FF">
      <w:r>
        <w:br w:type="page"/>
      </w:r>
    </w:p>
    <w:p w14:paraId="20982989" w14:textId="77777777" w:rsidR="00371AD1" w:rsidRPr="00785AB9" w:rsidRDefault="00371AD1" w:rsidP="00D511FD">
      <w:pPr>
        <w:pStyle w:val="Heading1"/>
      </w:pPr>
      <w:bookmarkStart w:id="28" w:name="_Toc489256262"/>
      <w:r w:rsidRPr="00CF40FF">
        <w:lastRenderedPageBreak/>
        <w:t>Appendix E</w:t>
      </w:r>
      <w:r w:rsidR="00D511FD">
        <w:t xml:space="preserve"> - </w:t>
      </w:r>
      <w:r w:rsidRPr="00785AB9">
        <w:t>Rounding Modeled Design Values</w:t>
      </w:r>
      <w:bookmarkEnd w:id="28"/>
    </w:p>
    <w:p w14:paraId="087E35D4" w14:textId="77777777" w:rsidR="00CF40FF" w:rsidRPr="00785AB9" w:rsidRDefault="00CF40FF" w:rsidP="00CF40FF">
      <w:pPr>
        <w:autoSpaceDE w:val="0"/>
        <w:autoSpaceDN w:val="0"/>
        <w:adjustRightInd w:val="0"/>
        <w:rPr>
          <w:rFonts w:eastAsiaTheme="minorHAnsi"/>
          <w:sz w:val="24"/>
          <w:szCs w:val="24"/>
          <w:u w:val="single"/>
        </w:rPr>
      </w:pPr>
    </w:p>
    <w:p w14:paraId="6CE3BD4F" w14:textId="77777777" w:rsidR="00CF40FF" w:rsidRPr="009D45D9" w:rsidRDefault="00CF40FF" w:rsidP="003C3872">
      <w:pPr>
        <w:autoSpaceDE w:val="0"/>
        <w:autoSpaceDN w:val="0"/>
        <w:adjustRightInd w:val="0"/>
        <w:rPr>
          <w:rFonts w:eastAsiaTheme="minorHAnsi"/>
        </w:rPr>
      </w:pPr>
      <w:r w:rsidRPr="009D45D9">
        <w:rPr>
          <w:rFonts w:eastAsiaTheme="minorHAnsi"/>
          <w:sz w:val="24"/>
          <w:szCs w:val="24"/>
        </w:rPr>
        <w:t>Rounding modeled results may be done as long as the level of rounding does not alter the</w:t>
      </w:r>
      <w:r w:rsidR="00F92B16">
        <w:rPr>
          <w:rFonts w:eastAsiaTheme="minorHAnsi"/>
          <w:sz w:val="24"/>
          <w:szCs w:val="24"/>
        </w:rPr>
        <w:t xml:space="preserve"> </w:t>
      </w:r>
      <w:r w:rsidRPr="009D45D9">
        <w:rPr>
          <w:rFonts w:eastAsiaTheme="minorHAnsi"/>
          <w:sz w:val="24"/>
          <w:szCs w:val="24"/>
        </w:rPr>
        <w:t>compliance demonstration</w:t>
      </w:r>
      <w:r w:rsidR="003C3872" w:rsidRPr="009D45D9">
        <w:rPr>
          <w:rFonts w:eastAsiaTheme="minorHAnsi"/>
          <w:sz w:val="24"/>
          <w:szCs w:val="24"/>
        </w:rPr>
        <w:t xml:space="preserve">.  </w:t>
      </w:r>
      <w:r w:rsidRPr="009D45D9">
        <w:rPr>
          <w:rFonts w:eastAsiaTheme="minorHAnsi"/>
          <w:sz w:val="24"/>
          <w:szCs w:val="24"/>
        </w:rPr>
        <w:t>Rounding may never be used to eliminate a modeled exceedance of a</w:t>
      </w:r>
      <w:r w:rsidR="003C3872">
        <w:rPr>
          <w:rFonts w:eastAsiaTheme="minorHAnsi"/>
          <w:sz w:val="24"/>
          <w:szCs w:val="24"/>
        </w:rPr>
        <w:t xml:space="preserve"> </w:t>
      </w:r>
      <w:r w:rsidRPr="009D45D9">
        <w:rPr>
          <w:rFonts w:eastAsiaTheme="minorHAnsi"/>
          <w:sz w:val="24"/>
          <w:szCs w:val="24"/>
        </w:rPr>
        <w:t>standard, increment, or threshold</w:t>
      </w:r>
      <w:r w:rsidR="003C3872" w:rsidRPr="009D45D9">
        <w:rPr>
          <w:rFonts w:eastAsiaTheme="minorHAnsi"/>
          <w:sz w:val="24"/>
          <w:szCs w:val="24"/>
        </w:rPr>
        <w:t xml:space="preserve">.  </w:t>
      </w:r>
      <w:r w:rsidRPr="009D45D9">
        <w:rPr>
          <w:rFonts w:eastAsiaTheme="minorHAnsi"/>
          <w:sz w:val="24"/>
          <w:szCs w:val="24"/>
        </w:rPr>
        <w:t>All standards, increments, and thresholds are absolute limits.</w:t>
      </w:r>
    </w:p>
    <w:p w14:paraId="77E281D9" w14:textId="77777777" w:rsidR="00CF40FF" w:rsidRDefault="00CF40FF" w:rsidP="00CF40FF">
      <w:pPr>
        <w:autoSpaceDE w:val="0"/>
        <w:autoSpaceDN w:val="0"/>
        <w:adjustRightInd w:val="0"/>
        <w:rPr>
          <w:rFonts w:eastAsiaTheme="minorHAnsi"/>
        </w:rPr>
      </w:pPr>
    </w:p>
    <w:p w14:paraId="479C4F4D" w14:textId="77777777" w:rsidR="00CF40FF" w:rsidRPr="009D45D9" w:rsidRDefault="00CF40FF" w:rsidP="00CF40FF">
      <w:pPr>
        <w:autoSpaceDE w:val="0"/>
        <w:autoSpaceDN w:val="0"/>
        <w:adjustRightInd w:val="0"/>
        <w:rPr>
          <w:rFonts w:eastAsiaTheme="minorHAnsi"/>
        </w:rPr>
      </w:pPr>
      <w:r w:rsidRPr="009D45D9">
        <w:rPr>
          <w:rFonts w:eastAsiaTheme="minorHAnsi"/>
        </w:rPr>
        <w:t xml:space="preserve">53 FR Oct 17, 1988 </w:t>
      </w:r>
      <w:r w:rsidRPr="009D45D9">
        <w:rPr>
          <w:rFonts w:eastAsiaTheme="minorHAnsi"/>
          <w:sz w:val="24"/>
          <w:szCs w:val="24"/>
        </w:rPr>
        <w:t>Federal Register, page 40657</w:t>
      </w:r>
    </w:p>
    <w:p w14:paraId="529B2559" w14:textId="77777777" w:rsidR="00CF40FF" w:rsidRPr="009D45D9" w:rsidRDefault="00CF40FF" w:rsidP="00CF40FF">
      <w:pPr>
        <w:ind w:left="720"/>
        <w:rPr>
          <w:rFonts w:eastAsiaTheme="minorHAnsi"/>
          <w:i/>
        </w:rPr>
      </w:pPr>
      <w:r w:rsidRPr="009D45D9">
        <w:rPr>
          <w:rFonts w:eastAsiaTheme="minorHAnsi"/>
          <w:i/>
        </w:rPr>
        <w:t>"It should be noted that these increments, like those for particulate matter and sulfur dioxide, are absolute limits.  This means, for example, that a modeled impact of 25.1µg/m</w:t>
      </w:r>
      <w:r w:rsidRPr="009D45D9">
        <w:rPr>
          <w:rFonts w:eastAsiaTheme="minorHAnsi"/>
          <w:i/>
          <w:vertAlign w:val="superscript"/>
        </w:rPr>
        <w:t>3</w:t>
      </w:r>
      <w:r w:rsidRPr="009D45D9">
        <w:rPr>
          <w:rFonts w:eastAsiaTheme="minorHAnsi"/>
          <w:i/>
        </w:rPr>
        <w:t xml:space="preserve"> for a proposed new source would result in an exceedance of the Class II increment of 25 µg/m</w:t>
      </w:r>
      <w:r w:rsidRPr="009D45D9">
        <w:rPr>
          <w:rFonts w:eastAsiaTheme="minorHAnsi"/>
          <w:i/>
          <w:vertAlign w:val="superscript"/>
        </w:rPr>
        <w:t>3</w:t>
      </w:r>
      <w:r w:rsidRPr="009D45D9">
        <w:rPr>
          <w:rFonts w:eastAsiaTheme="minorHAnsi"/>
          <w:i/>
        </w:rPr>
        <w:t>, while a modeled impact of 24.9 µg/m</w:t>
      </w:r>
      <w:r w:rsidRPr="009D45D9">
        <w:rPr>
          <w:rFonts w:eastAsiaTheme="minorHAnsi"/>
          <w:i/>
          <w:vertAlign w:val="superscript"/>
        </w:rPr>
        <w:t>3</w:t>
      </w:r>
      <w:r w:rsidRPr="009D45D9">
        <w:rPr>
          <w:rFonts w:eastAsiaTheme="minorHAnsi"/>
          <w:i/>
        </w:rPr>
        <w:t xml:space="preserve"> would not.  In neither case is the result rounded off to 25 µg/m</w:t>
      </w:r>
      <w:r w:rsidRPr="009D45D9">
        <w:rPr>
          <w:rFonts w:eastAsiaTheme="minorHAnsi"/>
          <w:i/>
          <w:vertAlign w:val="superscript"/>
        </w:rPr>
        <w:t>3</w:t>
      </w:r>
      <w:r w:rsidRPr="009D45D9">
        <w:rPr>
          <w:rFonts w:eastAsiaTheme="minorHAnsi"/>
          <w:i/>
        </w:rPr>
        <w:t>."</w:t>
      </w:r>
    </w:p>
    <w:p w14:paraId="24F4A226" w14:textId="77777777" w:rsidR="00CF40FF" w:rsidRPr="009D45D9" w:rsidRDefault="00CF40FF" w:rsidP="00CF40FF">
      <w:pPr>
        <w:autoSpaceDE w:val="0"/>
        <w:autoSpaceDN w:val="0"/>
        <w:adjustRightInd w:val="0"/>
        <w:rPr>
          <w:rFonts w:eastAsiaTheme="minorHAnsi"/>
          <w:sz w:val="24"/>
          <w:szCs w:val="24"/>
        </w:rPr>
      </w:pPr>
    </w:p>
    <w:p w14:paraId="57FD44F9" w14:textId="77777777" w:rsidR="00CF40FF" w:rsidRDefault="00F92B16" w:rsidP="00CF40FF">
      <w:pPr>
        <w:rPr>
          <w:rFonts w:eastAsiaTheme="minorHAnsi"/>
          <w:sz w:val="24"/>
          <w:szCs w:val="24"/>
        </w:rPr>
      </w:pPr>
      <w:r>
        <w:rPr>
          <w:rFonts w:eastAsiaTheme="minorHAnsi"/>
          <w:sz w:val="24"/>
          <w:szCs w:val="24"/>
        </w:rPr>
        <w:t>As an example, i</w:t>
      </w:r>
      <w:r w:rsidRPr="00F92B16">
        <w:rPr>
          <w:rFonts w:eastAsiaTheme="minorHAnsi"/>
          <w:sz w:val="24"/>
          <w:szCs w:val="24"/>
        </w:rPr>
        <w:t xml:space="preserve">f </w:t>
      </w:r>
      <w:r w:rsidR="00CF40FF" w:rsidRPr="00785AB9">
        <w:rPr>
          <w:rFonts w:eastAsiaTheme="minorHAnsi"/>
          <w:sz w:val="24"/>
          <w:szCs w:val="24"/>
        </w:rPr>
        <w:t xml:space="preserve">a </w:t>
      </w:r>
      <w:r w:rsidR="00CF40FF" w:rsidRPr="00F92B16">
        <w:rPr>
          <w:rFonts w:eastAsiaTheme="minorHAnsi"/>
          <w:sz w:val="24"/>
          <w:szCs w:val="24"/>
        </w:rPr>
        <w:t>standard, increment, or threshold</w:t>
      </w:r>
      <w:r w:rsidR="00CF40FF" w:rsidRPr="00785AB9">
        <w:rPr>
          <w:rFonts w:eastAsiaTheme="minorHAnsi"/>
          <w:sz w:val="24"/>
          <w:szCs w:val="24"/>
        </w:rPr>
        <w:t xml:space="preserve"> is 25 µg/m</w:t>
      </w:r>
      <w:r w:rsidR="00CF40FF" w:rsidRPr="00785AB9">
        <w:rPr>
          <w:rFonts w:eastAsiaTheme="minorHAnsi"/>
          <w:sz w:val="24"/>
          <w:szCs w:val="24"/>
          <w:vertAlign w:val="superscript"/>
        </w:rPr>
        <w:t>3</w:t>
      </w:r>
      <w:r w:rsidR="00CF40FF" w:rsidRPr="00785AB9">
        <w:rPr>
          <w:rFonts w:eastAsiaTheme="minorHAnsi"/>
          <w:sz w:val="24"/>
          <w:szCs w:val="24"/>
        </w:rPr>
        <w:t>, and the modeled result is 25.00001 µg/m</w:t>
      </w:r>
      <w:r w:rsidR="00CF40FF" w:rsidRPr="00785AB9">
        <w:rPr>
          <w:rFonts w:eastAsiaTheme="minorHAnsi"/>
          <w:sz w:val="24"/>
          <w:szCs w:val="24"/>
          <w:vertAlign w:val="superscript"/>
        </w:rPr>
        <w:t>3</w:t>
      </w:r>
      <w:r w:rsidR="00CF40FF" w:rsidRPr="00785AB9">
        <w:rPr>
          <w:rFonts w:eastAsiaTheme="minorHAnsi"/>
          <w:sz w:val="24"/>
          <w:szCs w:val="24"/>
        </w:rPr>
        <w:t>, that result is an exceedance.</w:t>
      </w:r>
    </w:p>
    <w:p w14:paraId="2A4BF500" w14:textId="77777777" w:rsidR="00AE7E07" w:rsidRPr="00785AB9" w:rsidRDefault="00AE7E07" w:rsidP="00CF40FF">
      <w:pPr>
        <w:rPr>
          <w:rFonts w:eastAsiaTheme="minorHAnsi"/>
          <w:sz w:val="24"/>
          <w:szCs w:val="24"/>
        </w:rPr>
      </w:pPr>
    </w:p>
    <w:p w14:paraId="3F02D419" w14:textId="77777777" w:rsidR="00CF40FF" w:rsidRDefault="00CF40FF">
      <w:r>
        <w:br w:type="page"/>
      </w:r>
    </w:p>
    <w:p w14:paraId="6A8F876A" w14:textId="77777777" w:rsidR="00371AD1" w:rsidRPr="00785AB9" w:rsidRDefault="00CF40FF" w:rsidP="00D511FD">
      <w:pPr>
        <w:pStyle w:val="Heading1"/>
      </w:pPr>
      <w:bookmarkStart w:id="29" w:name="_Toc489256263"/>
      <w:r w:rsidRPr="00CF40FF">
        <w:lastRenderedPageBreak/>
        <w:t>Appendix F</w:t>
      </w:r>
      <w:r w:rsidR="00D511FD">
        <w:t xml:space="preserve"> - </w:t>
      </w:r>
      <w:r w:rsidRPr="00785AB9">
        <w:t>Culpability Analysis</w:t>
      </w:r>
      <w:bookmarkEnd w:id="29"/>
    </w:p>
    <w:p w14:paraId="1F4AE086" w14:textId="77777777" w:rsidR="00371AD1" w:rsidRPr="00371AD1" w:rsidRDefault="00371AD1" w:rsidP="00371AD1">
      <w:pPr>
        <w:autoSpaceDE w:val="0"/>
        <w:autoSpaceDN w:val="0"/>
        <w:adjustRightInd w:val="0"/>
      </w:pPr>
    </w:p>
    <w:p w14:paraId="1694478E" w14:textId="77777777" w:rsidR="00371AD1" w:rsidRPr="00371AD1" w:rsidRDefault="00371AD1" w:rsidP="00371AD1">
      <w:pPr>
        <w:autoSpaceDE w:val="0"/>
        <w:autoSpaceDN w:val="0"/>
        <w:adjustRightInd w:val="0"/>
      </w:pPr>
      <w:r w:rsidRPr="00371AD1">
        <w:t xml:space="preserve">When the model predicts an exceedance of a NAAQ standard or a PSD increment, </w:t>
      </w:r>
      <w:r w:rsidR="002F4076">
        <w:t xml:space="preserve">a culpability analysis can determine </w:t>
      </w:r>
      <w:r w:rsidRPr="00371AD1">
        <w:t>if this exceedance is due to emissions from the proposed project</w:t>
      </w:r>
      <w:r w:rsidR="002F4076">
        <w:t xml:space="preserve"> or </w:t>
      </w:r>
      <w:r w:rsidRPr="00371AD1">
        <w:t>due to emissions from a nearby facility.  There are several approaches to a culpability analysis that can determine the contributions of the facility versus the contribution of a nearby facility.</w:t>
      </w:r>
    </w:p>
    <w:p w14:paraId="5189C204" w14:textId="77777777" w:rsidR="00371AD1" w:rsidRPr="00371AD1" w:rsidRDefault="00371AD1" w:rsidP="00371AD1">
      <w:pPr>
        <w:autoSpaceDE w:val="0"/>
        <w:autoSpaceDN w:val="0"/>
        <w:adjustRightInd w:val="0"/>
      </w:pPr>
    </w:p>
    <w:p w14:paraId="2CE4EC78" w14:textId="77777777" w:rsidR="00371AD1" w:rsidRPr="00371AD1" w:rsidRDefault="00AE7E07" w:rsidP="00371AD1">
      <w:pPr>
        <w:autoSpaceDE w:val="0"/>
        <w:autoSpaceDN w:val="0"/>
        <w:adjustRightInd w:val="0"/>
      </w:pPr>
      <w:r>
        <w:t>One approach is to d</w:t>
      </w:r>
      <w:r w:rsidR="00371AD1" w:rsidRPr="00371AD1">
        <w:t>etermine if the receptor predicting an exceedance is located within the fence line of a nearby facility and what the predicted modeled impact would be for that receptor due only to the emissions of the proposed project.  This can be done using the source group ALL and a source group for your facility.  If the proposed project, excluding impacts of the nearby facility does not cause an exceedance within the fence line of the nearby facility, then document this analysis in the final modeling report.</w:t>
      </w:r>
    </w:p>
    <w:p w14:paraId="65508957" w14:textId="77777777" w:rsidR="00371AD1" w:rsidRPr="00371AD1" w:rsidRDefault="00371AD1" w:rsidP="00371AD1"/>
    <w:p w14:paraId="5DB1AEF6" w14:textId="77777777" w:rsidR="00371AD1" w:rsidRPr="00371AD1" w:rsidRDefault="00371AD1" w:rsidP="00371AD1">
      <w:r w:rsidRPr="00371AD1">
        <w:t xml:space="preserve">If the receptor predicting the impact is </w:t>
      </w:r>
      <w:r w:rsidRPr="00371AD1">
        <w:rPr>
          <w:u w:val="single"/>
        </w:rPr>
        <w:t xml:space="preserve">not </w:t>
      </w:r>
      <w:r w:rsidRPr="00371AD1">
        <w:t xml:space="preserve">located inside the fence line of a nearby facility, then look at the impact predicted at that receptor caused by the proposed project of your facility alone.  If the proposed </w:t>
      </w:r>
      <w:r w:rsidR="00AE7E07">
        <w:t xml:space="preserve">new </w:t>
      </w:r>
      <w:r w:rsidRPr="00371AD1">
        <w:t xml:space="preserve">project or </w:t>
      </w:r>
      <w:r w:rsidR="00AE7E07">
        <w:t xml:space="preserve">proposed </w:t>
      </w:r>
      <w:r w:rsidRPr="00371AD1">
        <w:t>modification</w:t>
      </w:r>
      <w:r w:rsidR="00AE7E07">
        <w:t xml:space="preserve"> to an existing facility</w:t>
      </w:r>
      <w:r w:rsidRPr="00371AD1">
        <w:t xml:space="preserve"> has no significant contribution to the exceedance (is less than or equal to the SIL at that receptor) then the proposed project does not contribute to the predicted exceedance.  Document this analysis in the final modeling report.</w:t>
      </w:r>
      <w:r w:rsidRPr="00371AD1">
        <w:rPr>
          <w:szCs w:val="24"/>
        </w:rPr>
        <w:t xml:space="preserve">  </w:t>
      </w:r>
      <w:r w:rsidRPr="00371AD1">
        <w:t>However, if it is demonstrated that the proposed facility or modification of an existing facility contributes impacts above the SIL, then additional control technology may be required for the proposed facility or modification of an existing facility to demonstrate compliance with the NAAQS or PSD increment.</w:t>
      </w:r>
    </w:p>
    <w:p w14:paraId="049203D7" w14:textId="77777777" w:rsidR="00371AD1" w:rsidRPr="00371AD1" w:rsidRDefault="00371AD1" w:rsidP="00371AD1">
      <w:pPr>
        <w:rPr>
          <w:rFonts w:eastAsiaTheme="minorHAnsi"/>
        </w:rPr>
      </w:pPr>
    </w:p>
    <w:p w14:paraId="70A9F4DE" w14:textId="77777777" w:rsidR="00371AD1" w:rsidRPr="00371AD1" w:rsidRDefault="00AE7E07" w:rsidP="00371AD1">
      <w:pPr>
        <w:rPr>
          <w:rFonts w:eastAsiaTheme="minorHAnsi"/>
          <w:bCs/>
          <w:iCs/>
        </w:rPr>
      </w:pPr>
      <w:r>
        <w:rPr>
          <w:rFonts w:eastAsiaTheme="minorHAnsi"/>
          <w:bCs/>
          <w:iCs/>
        </w:rPr>
        <w:t>Following are t</w:t>
      </w:r>
      <w:r w:rsidR="00E40E75">
        <w:rPr>
          <w:rFonts w:eastAsiaTheme="minorHAnsi"/>
          <w:bCs/>
          <w:iCs/>
        </w:rPr>
        <w:t>wo example methods for setting up a c</w:t>
      </w:r>
      <w:r w:rsidR="00371AD1" w:rsidRPr="00371AD1">
        <w:rPr>
          <w:rFonts w:eastAsiaTheme="minorHAnsi"/>
          <w:bCs/>
          <w:iCs/>
        </w:rPr>
        <w:t xml:space="preserve">ulpability </w:t>
      </w:r>
      <w:proofErr w:type="gramStart"/>
      <w:r w:rsidR="00E40E75">
        <w:rPr>
          <w:rFonts w:eastAsiaTheme="minorHAnsi"/>
          <w:bCs/>
          <w:iCs/>
        </w:rPr>
        <w:t>a</w:t>
      </w:r>
      <w:r w:rsidR="00371AD1" w:rsidRPr="00371AD1">
        <w:rPr>
          <w:rFonts w:eastAsiaTheme="minorHAnsi"/>
          <w:bCs/>
          <w:iCs/>
        </w:rPr>
        <w:t>nalyses</w:t>
      </w:r>
      <w:proofErr w:type="gramEnd"/>
      <w:r w:rsidR="00E40E75">
        <w:rPr>
          <w:rFonts w:eastAsiaTheme="minorHAnsi"/>
          <w:bCs/>
          <w:iCs/>
        </w:rPr>
        <w:t xml:space="preserve"> in AERMOD</w:t>
      </w:r>
      <w:r>
        <w:rPr>
          <w:rFonts w:eastAsiaTheme="minorHAnsi"/>
          <w:bCs/>
          <w:iCs/>
        </w:rPr>
        <w:t>:</w:t>
      </w:r>
    </w:p>
    <w:p w14:paraId="4323D778" w14:textId="77777777" w:rsidR="00371AD1" w:rsidRPr="00371AD1" w:rsidRDefault="00371AD1" w:rsidP="00371AD1">
      <w:pPr>
        <w:rPr>
          <w:rFonts w:eastAsiaTheme="minorHAnsi"/>
          <w:bCs/>
          <w:iCs/>
        </w:rPr>
      </w:pPr>
    </w:p>
    <w:p w14:paraId="510DE2F2" w14:textId="77777777" w:rsidR="00371AD1" w:rsidRPr="00371AD1" w:rsidRDefault="00371AD1" w:rsidP="00371AD1">
      <w:pPr>
        <w:rPr>
          <w:rFonts w:eastAsiaTheme="minorHAnsi"/>
          <w:bCs/>
          <w:iCs/>
        </w:rPr>
      </w:pPr>
      <w:r w:rsidRPr="00371AD1">
        <w:rPr>
          <w:rFonts w:eastAsiaTheme="minorHAnsi"/>
          <w:bCs/>
          <w:iCs/>
        </w:rPr>
        <w:t xml:space="preserve">1.  MAXFILE output option provides the receptor location and date </w:t>
      </w:r>
      <w:r w:rsidR="00832E88">
        <w:rPr>
          <w:rFonts w:eastAsiaTheme="minorHAnsi"/>
          <w:bCs/>
          <w:iCs/>
        </w:rPr>
        <w:t xml:space="preserve">of </w:t>
      </w:r>
      <w:r w:rsidRPr="00371AD1">
        <w:rPr>
          <w:rFonts w:eastAsiaTheme="minorHAnsi"/>
          <w:bCs/>
          <w:iCs/>
        </w:rPr>
        <w:t xml:space="preserve">an impact </w:t>
      </w:r>
      <w:r w:rsidR="00832E88">
        <w:rPr>
          <w:rFonts w:eastAsiaTheme="minorHAnsi"/>
          <w:bCs/>
          <w:iCs/>
        </w:rPr>
        <w:t>and can be used with short term averaging periods such as 24-hour PM</w:t>
      </w:r>
      <w:r w:rsidR="00832E88" w:rsidRPr="00553F7C">
        <w:rPr>
          <w:rFonts w:eastAsiaTheme="minorHAnsi"/>
          <w:bCs/>
          <w:iCs/>
          <w:vertAlign w:val="subscript"/>
        </w:rPr>
        <w:t>10</w:t>
      </w:r>
      <w:r w:rsidR="00832E88">
        <w:rPr>
          <w:rFonts w:eastAsiaTheme="minorHAnsi"/>
          <w:bCs/>
          <w:iCs/>
        </w:rPr>
        <w:t>.</w:t>
      </w:r>
    </w:p>
    <w:p w14:paraId="1CC83B47" w14:textId="77777777" w:rsidR="00371AD1" w:rsidRPr="00371AD1" w:rsidRDefault="00371AD1" w:rsidP="00832E88">
      <w:pPr>
        <w:ind w:left="360"/>
        <w:rPr>
          <w:rFonts w:eastAsiaTheme="minorHAnsi"/>
          <w:bCs/>
          <w:iCs/>
          <w:u w:val="single"/>
        </w:rPr>
      </w:pPr>
      <w:r w:rsidRPr="00371AD1">
        <w:rPr>
          <w:rFonts w:eastAsiaTheme="minorHAnsi"/>
          <w:bCs/>
          <w:iCs/>
          <w:u w:val="single"/>
        </w:rPr>
        <w:t>First run</w:t>
      </w:r>
    </w:p>
    <w:p w14:paraId="4896D2B5" w14:textId="77777777" w:rsidR="00371AD1" w:rsidRPr="00371AD1" w:rsidRDefault="00371AD1" w:rsidP="00832E88">
      <w:pPr>
        <w:numPr>
          <w:ilvl w:val="0"/>
          <w:numId w:val="25"/>
        </w:numPr>
        <w:ind w:left="1080"/>
        <w:rPr>
          <w:rFonts w:eastAsiaTheme="minorHAnsi"/>
          <w:bCs/>
          <w:iCs/>
        </w:rPr>
      </w:pPr>
      <w:r w:rsidRPr="00371AD1">
        <w:rPr>
          <w:rFonts w:eastAsiaTheme="minorHAnsi"/>
          <w:bCs/>
          <w:iCs/>
        </w:rPr>
        <w:t>Source Group ALL</w:t>
      </w:r>
    </w:p>
    <w:p w14:paraId="5D1E4145" w14:textId="77777777" w:rsidR="00371AD1" w:rsidRPr="00371AD1" w:rsidRDefault="00371AD1" w:rsidP="00832E88">
      <w:pPr>
        <w:numPr>
          <w:ilvl w:val="0"/>
          <w:numId w:val="25"/>
        </w:numPr>
        <w:ind w:left="1080"/>
        <w:rPr>
          <w:rFonts w:eastAsiaTheme="minorHAnsi"/>
          <w:bCs/>
          <w:iCs/>
        </w:rPr>
      </w:pPr>
      <w:r w:rsidRPr="00371AD1">
        <w:rPr>
          <w:rFonts w:eastAsiaTheme="minorHAnsi"/>
          <w:bCs/>
          <w:iCs/>
        </w:rPr>
        <w:t>Set a threshold value equal to the NAAQS minus background</w:t>
      </w:r>
    </w:p>
    <w:p w14:paraId="6CBAD3E6" w14:textId="77777777" w:rsidR="00371AD1" w:rsidRPr="00371AD1" w:rsidRDefault="00371AD1" w:rsidP="00832E88">
      <w:pPr>
        <w:numPr>
          <w:ilvl w:val="0"/>
          <w:numId w:val="25"/>
        </w:numPr>
        <w:ind w:left="1080"/>
        <w:rPr>
          <w:rFonts w:eastAsiaTheme="minorHAnsi"/>
          <w:bCs/>
          <w:iCs/>
        </w:rPr>
      </w:pPr>
      <w:r w:rsidRPr="00371AD1">
        <w:rPr>
          <w:rFonts w:eastAsiaTheme="minorHAnsi"/>
          <w:bCs/>
          <w:iCs/>
        </w:rPr>
        <w:t xml:space="preserve">The output file will provide a list of the receptors that will be in nonattainment </w:t>
      </w:r>
    </w:p>
    <w:p w14:paraId="5660049B" w14:textId="77777777" w:rsidR="00371AD1" w:rsidRPr="00371AD1" w:rsidRDefault="00371AD1" w:rsidP="00832E88">
      <w:pPr>
        <w:ind w:left="360"/>
        <w:rPr>
          <w:rFonts w:eastAsiaTheme="minorHAnsi"/>
          <w:bCs/>
          <w:iCs/>
          <w:u w:val="single"/>
        </w:rPr>
      </w:pPr>
      <w:r w:rsidRPr="00371AD1">
        <w:rPr>
          <w:rFonts w:eastAsiaTheme="minorHAnsi"/>
          <w:bCs/>
          <w:iCs/>
          <w:u w:val="single"/>
        </w:rPr>
        <w:t>Second run</w:t>
      </w:r>
    </w:p>
    <w:p w14:paraId="3C9D976F" w14:textId="77777777" w:rsidR="00E40E75" w:rsidRDefault="00E40E75" w:rsidP="00832E88">
      <w:pPr>
        <w:numPr>
          <w:ilvl w:val="0"/>
          <w:numId w:val="26"/>
        </w:numPr>
        <w:ind w:left="1080"/>
        <w:rPr>
          <w:rFonts w:eastAsiaTheme="minorHAnsi"/>
          <w:bCs/>
          <w:iCs/>
        </w:rPr>
      </w:pPr>
      <w:r>
        <w:rPr>
          <w:rFonts w:eastAsiaTheme="minorHAnsi"/>
          <w:bCs/>
          <w:iCs/>
        </w:rPr>
        <w:t>Use the receptors identified by the first MAXFILE run</w:t>
      </w:r>
    </w:p>
    <w:p w14:paraId="04C75119" w14:textId="77777777" w:rsidR="00371AD1" w:rsidRPr="00371AD1" w:rsidRDefault="00470AA2" w:rsidP="00832E88">
      <w:pPr>
        <w:numPr>
          <w:ilvl w:val="0"/>
          <w:numId w:val="26"/>
        </w:numPr>
        <w:ind w:left="1080"/>
        <w:rPr>
          <w:rFonts w:eastAsiaTheme="minorHAnsi"/>
          <w:bCs/>
          <w:iCs/>
        </w:rPr>
      </w:pPr>
      <w:r>
        <w:rPr>
          <w:rFonts w:eastAsiaTheme="minorHAnsi"/>
          <w:bCs/>
          <w:iCs/>
        </w:rPr>
        <w:t xml:space="preserve">Include </w:t>
      </w:r>
      <w:r w:rsidR="00E40E75">
        <w:rPr>
          <w:rFonts w:eastAsiaTheme="minorHAnsi"/>
          <w:bCs/>
          <w:iCs/>
        </w:rPr>
        <w:t>s</w:t>
      </w:r>
      <w:r w:rsidR="00371AD1" w:rsidRPr="00371AD1">
        <w:rPr>
          <w:rFonts w:eastAsiaTheme="minorHAnsi"/>
          <w:bCs/>
          <w:iCs/>
        </w:rPr>
        <w:t xml:space="preserve">ource </w:t>
      </w:r>
      <w:r>
        <w:rPr>
          <w:rFonts w:eastAsiaTheme="minorHAnsi"/>
          <w:bCs/>
          <w:iCs/>
        </w:rPr>
        <w:t>g</w:t>
      </w:r>
      <w:r w:rsidR="00371AD1" w:rsidRPr="00371AD1">
        <w:rPr>
          <w:rFonts w:eastAsiaTheme="minorHAnsi"/>
          <w:bCs/>
          <w:iCs/>
        </w:rPr>
        <w:t>roup</w:t>
      </w:r>
      <w:r>
        <w:rPr>
          <w:rFonts w:eastAsiaTheme="minorHAnsi"/>
          <w:bCs/>
          <w:iCs/>
        </w:rPr>
        <w:t>s</w:t>
      </w:r>
      <w:r w:rsidR="00371AD1" w:rsidRPr="00371AD1">
        <w:rPr>
          <w:rFonts w:eastAsiaTheme="minorHAnsi"/>
          <w:bCs/>
          <w:iCs/>
        </w:rPr>
        <w:t xml:space="preserve"> for </w:t>
      </w:r>
      <w:r>
        <w:rPr>
          <w:rFonts w:eastAsiaTheme="minorHAnsi"/>
          <w:bCs/>
          <w:iCs/>
        </w:rPr>
        <w:t xml:space="preserve">the </w:t>
      </w:r>
      <w:r w:rsidR="00371AD1" w:rsidRPr="00371AD1">
        <w:rPr>
          <w:rFonts w:eastAsiaTheme="minorHAnsi"/>
          <w:bCs/>
          <w:iCs/>
        </w:rPr>
        <w:t>facility</w:t>
      </w:r>
      <w:r>
        <w:rPr>
          <w:rFonts w:eastAsiaTheme="minorHAnsi"/>
          <w:bCs/>
          <w:iCs/>
        </w:rPr>
        <w:t xml:space="preserve"> and each nearby</w:t>
      </w:r>
    </w:p>
    <w:p w14:paraId="6D7EE267" w14:textId="77777777" w:rsidR="00371AD1" w:rsidRPr="00371AD1" w:rsidRDefault="00371AD1" w:rsidP="00832E88">
      <w:pPr>
        <w:numPr>
          <w:ilvl w:val="0"/>
          <w:numId w:val="26"/>
        </w:numPr>
        <w:ind w:left="1080"/>
        <w:rPr>
          <w:rFonts w:eastAsiaTheme="minorHAnsi"/>
          <w:bCs/>
          <w:iCs/>
        </w:rPr>
      </w:pPr>
      <w:r w:rsidRPr="00371AD1">
        <w:rPr>
          <w:rFonts w:eastAsiaTheme="minorHAnsi"/>
          <w:bCs/>
          <w:iCs/>
        </w:rPr>
        <w:t>Set a threshold value equal to the appropriate SIL value</w:t>
      </w:r>
    </w:p>
    <w:p w14:paraId="37C07DB5" w14:textId="77777777" w:rsidR="00371AD1" w:rsidRDefault="00371AD1" w:rsidP="00832E88">
      <w:pPr>
        <w:numPr>
          <w:ilvl w:val="0"/>
          <w:numId w:val="26"/>
        </w:numPr>
        <w:ind w:left="1080"/>
        <w:rPr>
          <w:rFonts w:eastAsiaTheme="minorHAnsi" w:cstheme="minorBidi"/>
        </w:rPr>
      </w:pPr>
      <w:r w:rsidRPr="00371AD1">
        <w:rPr>
          <w:rFonts w:eastAsiaTheme="minorHAnsi" w:cstheme="minorBidi"/>
        </w:rPr>
        <w:t xml:space="preserve">The output file provides </w:t>
      </w:r>
      <w:r w:rsidR="00470AA2">
        <w:rPr>
          <w:rFonts w:eastAsiaTheme="minorHAnsi" w:cstheme="minorBidi"/>
        </w:rPr>
        <w:t xml:space="preserve">a </w:t>
      </w:r>
      <w:r w:rsidRPr="00371AD1">
        <w:rPr>
          <w:rFonts w:eastAsiaTheme="minorHAnsi" w:cstheme="minorBidi"/>
        </w:rPr>
        <w:t>date</w:t>
      </w:r>
      <w:r w:rsidR="00470AA2">
        <w:rPr>
          <w:rFonts w:eastAsiaTheme="minorHAnsi" w:cstheme="minorBidi"/>
        </w:rPr>
        <w:t xml:space="preserve"> </w:t>
      </w:r>
      <w:r w:rsidR="003C3872">
        <w:rPr>
          <w:rFonts w:eastAsiaTheme="minorHAnsi" w:cstheme="minorBidi"/>
        </w:rPr>
        <w:t>stamp</w:t>
      </w:r>
      <w:r w:rsidR="00470AA2">
        <w:rPr>
          <w:rFonts w:eastAsiaTheme="minorHAnsi" w:cstheme="minorBidi"/>
        </w:rPr>
        <w:t xml:space="preserve"> for any day when the facility exceeds the SIL</w:t>
      </w:r>
      <w:r w:rsidRPr="00371AD1">
        <w:rPr>
          <w:rFonts w:eastAsiaTheme="minorHAnsi" w:cstheme="minorBidi"/>
        </w:rPr>
        <w:t xml:space="preserve"> and potentially contributes to a violation of the NAAQS.  A significant contribution to a NAAQS violation would be predicted to occur if the date stamps for source groups ALL and the facility matched.</w:t>
      </w:r>
    </w:p>
    <w:p w14:paraId="6EA35EFE" w14:textId="77777777" w:rsidR="005542C0" w:rsidRPr="00371AD1" w:rsidRDefault="005542C0" w:rsidP="005542C0">
      <w:pPr>
        <w:ind w:left="720"/>
        <w:rPr>
          <w:rFonts w:eastAsiaTheme="minorHAnsi" w:cstheme="minorBidi"/>
        </w:rPr>
      </w:pPr>
    </w:p>
    <w:p w14:paraId="0C80391A" w14:textId="77777777" w:rsidR="00371AD1" w:rsidRPr="00371AD1" w:rsidRDefault="00371AD1" w:rsidP="00371AD1">
      <w:pPr>
        <w:rPr>
          <w:rFonts w:eastAsiaTheme="minorHAnsi" w:cstheme="minorBidi"/>
        </w:rPr>
      </w:pPr>
      <w:r w:rsidRPr="00371AD1">
        <w:rPr>
          <w:rFonts w:eastAsiaTheme="minorHAnsi" w:cstheme="minorBidi"/>
        </w:rPr>
        <w:t>2.  MAXDCONT</w:t>
      </w:r>
      <w:r w:rsidR="00470AA2">
        <w:rPr>
          <w:rFonts w:eastAsiaTheme="minorHAnsi" w:cstheme="minorBidi"/>
        </w:rPr>
        <w:t xml:space="preserve"> is an output option for the 1-hour NO</w:t>
      </w:r>
      <w:r w:rsidR="00470AA2" w:rsidRPr="005542C0">
        <w:rPr>
          <w:rFonts w:eastAsiaTheme="minorHAnsi" w:cstheme="minorBidi"/>
          <w:vertAlign w:val="subscript"/>
        </w:rPr>
        <w:t xml:space="preserve">2 </w:t>
      </w:r>
      <w:r w:rsidR="00470AA2">
        <w:rPr>
          <w:rFonts w:eastAsiaTheme="minorHAnsi" w:cstheme="minorBidi"/>
        </w:rPr>
        <w:t>and SO</w:t>
      </w:r>
      <w:r w:rsidR="00470AA2" w:rsidRPr="005542C0">
        <w:rPr>
          <w:rFonts w:eastAsiaTheme="minorHAnsi" w:cstheme="minorBidi"/>
          <w:vertAlign w:val="subscript"/>
        </w:rPr>
        <w:t>2</w:t>
      </w:r>
      <w:r w:rsidR="00470AA2">
        <w:rPr>
          <w:rFonts w:eastAsiaTheme="minorHAnsi" w:cstheme="minorBidi"/>
        </w:rPr>
        <w:t xml:space="preserve"> NAAQS</w:t>
      </w:r>
      <w:r w:rsidR="00832E88">
        <w:rPr>
          <w:rFonts w:eastAsiaTheme="minorHAnsi" w:cstheme="minorBidi"/>
        </w:rPr>
        <w:t xml:space="preserve"> and 24-hour PM</w:t>
      </w:r>
      <w:r w:rsidR="00832E88" w:rsidRPr="005542C0">
        <w:rPr>
          <w:rFonts w:eastAsiaTheme="minorHAnsi" w:cstheme="minorBidi"/>
          <w:vertAlign w:val="subscript"/>
        </w:rPr>
        <w:t>2.5</w:t>
      </w:r>
      <w:r w:rsidR="00832E88">
        <w:rPr>
          <w:rFonts w:eastAsiaTheme="minorHAnsi" w:cstheme="minorBidi"/>
        </w:rPr>
        <w:t xml:space="preserve"> NAAQS</w:t>
      </w:r>
    </w:p>
    <w:p w14:paraId="2E1B539E" w14:textId="77777777" w:rsidR="00371AD1" w:rsidRPr="00371AD1" w:rsidRDefault="00371AD1" w:rsidP="00832E88">
      <w:pPr>
        <w:numPr>
          <w:ilvl w:val="0"/>
          <w:numId w:val="27"/>
        </w:numPr>
        <w:ind w:left="1080"/>
        <w:rPr>
          <w:rFonts w:eastAsiaTheme="minorHAnsi" w:cstheme="minorBidi"/>
        </w:rPr>
      </w:pPr>
      <w:r w:rsidRPr="00371AD1">
        <w:rPr>
          <w:rFonts w:eastAsiaTheme="minorHAnsi" w:cstheme="minorBidi"/>
        </w:rPr>
        <w:t>Upper rank is the Design Value</w:t>
      </w:r>
      <w:r w:rsidR="00832E88">
        <w:rPr>
          <w:rFonts w:eastAsiaTheme="minorHAnsi" w:cstheme="minorBidi"/>
        </w:rPr>
        <w:t>, for example, the H8H for 1-hour NO2</w:t>
      </w:r>
    </w:p>
    <w:p w14:paraId="69639E93" w14:textId="77777777" w:rsidR="00371AD1" w:rsidRPr="00371AD1" w:rsidRDefault="00371AD1" w:rsidP="00832E88">
      <w:pPr>
        <w:numPr>
          <w:ilvl w:val="0"/>
          <w:numId w:val="27"/>
        </w:numPr>
        <w:ind w:left="1080"/>
        <w:rPr>
          <w:rFonts w:eastAsiaTheme="minorHAnsi" w:cstheme="minorBidi"/>
        </w:rPr>
      </w:pPr>
      <w:r w:rsidRPr="00371AD1">
        <w:rPr>
          <w:rFonts w:eastAsiaTheme="minorHAnsi" w:cstheme="minorBidi"/>
        </w:rPr>
        <w:t xml:space="preserve">Lower rank </w:t>
      </w:r>
      <w:r w:rsidR="00832E88">
        <w:rPr>
          <w:rFonts w:eastAsiaTheme="minorHAnsi" w:cstheme="minorBidi"/>
        </w:rPr>
        <w:t>can be entered as a rank or as a threshold concentration value and should</w:t>
      </w:r>
      <w:r w:rsidRPr="00371AD1">
        <w:rPr>
          <w:rFonts w:eastAsiaTheme="minorHAnsi" w:cstheme="minorBidi"/>
        </w:rPr>
        <w:t xml:space="preserve"> capture impacts above the project allowable threshold value (NAAQS-background)</w:t>
      </w:r>
    </w:p>
    <w:p w14:paraId="2DC766DD" w14:textId="77777777" w:rsidR="00371AD1" w:rsidRPr="00371AD1" w:rsidRDefault="00371AD1" w:rsidP="00832E88">
      <w:pPr>
        <w:numPr>
          <w:ilvl w:val="0"/>
          <w:numId w:val="27"/>
        </w:numPr>
        <w:ind w:left="1080"/>
        <w:rPr>
          <w:rFonts w:eastAsiaTheme="minorHAnsi" w:cstheme="minorBidi"/>
        </w:rPr>
      </w:pPr>
      <w:r w:rsidRPr="00371AD1">
        <w:rPr>
          <w:rFonts w:eastAsiaTheme="minorHAnsi" w:cstheme="minorBidi"/>
        </w:rPr>
        <w:t>Source groups should include the facility, and each of the nearby facilities</w:t>
      </w:r>
    </w:p>
    <w:p w14:paraId="55C1F09E" w14:textId="77777777" w:rsidR="00371AD1" w:rsidRPr="00371AD1" w:rsidRDefault="00371AD1" w:rsidP="00832E88">
      <w:pPr>
        <w:numPr>
          <w:ilvl w:val="0"/>
          <w:numId w:val="27"/>
        </w:numPr>
        <w:ind w:left="1080"/>
        <w:rPr>
          <w:rFonts w:eastAsiaTheme="minorHAnsi" w:cstheme="minorBidi"/>
        </w:rPr>
      </w:pPr>
      <w:r w:rsidRPr="00371AD1">
        <w:rPr>
          <w:rFonts w:eastAsiaTheme="minorHAnsi" w:cstheme="minorBidi"/>
        </w:rPr>
        <w:t xml:space="preserve">Output file will </w:t>
      </w:r>
      <w:r w:rsidR="00832E88">
        <w:rPr>
          <w:rFonts w:eastAsiaTheme="minorHAnsi" w:cstheme="minorBidi"/>
        </w:rPr>
        <w:t>display</w:t>
      </w:r>
      <w:r w:rsidRPr="00371AD1">
        <w:rPr>
          <w:rFonts w:eastAsiaTheme="minorHAnsi" w:cstheme="minorBidi"/>
        </w:rPr>
        <w:t xml:space="preserve"> impacts from each source group, matched temporally and spatially</w:t>
      </w:r>
      <w:r w:rsidR="003C3872" w:rsidRPr="00371AD1">
        <w:rPr>
          <w:rFonts w:eastAsiaTheme="minorHAnsi" w:cstheme="minorBidi"/>
        </w:rPr>
        <w:t xml:space="preserve">.  </w:t>
      </w:r>
      <w:r w:rsidRPr="00371AD1">
        <w:rPr>
          <w:rFonts w:eastAsiaTheme="minorHAnsi" w:cstheme="minorBidi"/>
        </w:rPr>
        <w:t>If the facility's source group predicted impact i</w:t>
      </w:r>
      <w:r w:rsidR="003C3872">
        <w:rPr>
          <w:rFonts w:eastAsiaTheme="minorHAnsi" w:cstheme="minorBidi"/>
        </w:rPr>
        <w:t>s</w:t>
      </w:r>
      <w:r w:rsidRPr="00371AD1">
        <w:rPr>
          <w:rFonts w:eastAsiaTheme="minorHAnsi" w:cstheme="minorBidi"/>
        </w:rPr>
        <w:t xml:space="preserve"> below the SIL for any receptor showing nonattainment</w:t>
      </w:r>
      <w:r w:rsidR="00832E88">
        <w:rPr>
          <w:rFonts w:eastAsiaTheme="minorHAnsi" w:cstheme="minorBidi"/>
        </w:rPr>
        <w:t xml:space="preserve"> in the source group ALL</w:t>
      </w:r>
      <w:r w:rsidRPr="00371AD1">
        <w:rPr>
          <w:rFonts w:eastAsiaTheme="minorHAnsi" w:cstheme="minorBidi"/>
        </w:rPr>
        <w:t xml:space="preserve">, then the facility is not </w:t>
      </w:r>
      <w:r w:rsidR="003C3872" w:rsidRPr="00371AD1">
        <w:rPr>
          <w:rFonts w:eastAsiaTheme="minorHAnsi" w:cstheme="minorBidi"/>
        </w:rPr>
        <w:t>culpable</w:t>
      </w:r>
      <w:r w:rsidRPr="00371AD1">
        <w:rPr>
          <w:rFonts w:eastAsiaTheme="minorHAnsi" w:cstheme="minorBidi"/>
        </w:rPr>
        <w:t xml:space="preserve"> for the violation.</w:t>
      </w:r>
    </w:p>
    <w:p w14:paraId="0C38D06B" w14:textId="77777777" w:rsidR="00D511FD" w:rsidRDefault="00D511FD">
      <w:pPr>
        <w:rPr>
          <w:b/>
        </w:rPr>
      </w:pPr>
      <w:r>
        <w:rPr>
          <w:b/>
        </w:rPr>
        <w:br w:type="page"/>
      </w:r>
    </w:p>
    <w:p w14:paraId="7AA04560" w14:textId="77777777" w:rsidR="002A4F32" w:rsidRPr="002A4F32" w:rsidRDefault="00EB2AED" w:rsidP="00B870C9">
      <w:pPr>
        <w:pStyle w:val="Heading1"/>
      </w:pPr>
      <w:bookmarkStart w:id="30" w:name="_Toc489256264"/>
      <w:r w:rsidRPr="00EB2AED">
        <w:lastRenderedPageBreak/>
        <w:t xml:space="preserve">Appendix </w:t>
      </w:r>
      <w:r>
        <w:t>G</w:t>
      </w:r>
      <w:r w:rsidR="00B870C9">
        <w:t xml:space="preserve"> - </w:t>
      </w:r>
      <w:r w:rsidR="002A4F32" w:rsidRPr="002A4F32">
        <w:t>Frequently Used Tables</w:t>
      </w:r>
      <w:bookmarkEnd w:id="30"/>
    </w:p>
    <w:p w14:paraId="71927007" w14:textId="77777777" w:rsidR="002A4F32" w:rsidRDefault="002A4F32" w:rsidP="002A4F32"/>
    <w:p w14:paraId="19E0BC00" w14:textId="77777777" w:rsidR="002A4F32" w:rsidRDefault="002A4F32" w:rsidP="002A4F32">
      <w:r>
        <w:t xml:space="preserve">Tables used frequently in a modeling </w:t>
      </w:r>
      <w:r w:rsidR="00C31802">
        <w:t>demonstration</w:t>
      </w:r>
      <w:r>
        <w:t xml:space="preserve"> are reproduced in the </w:t>
      </w:r>
      <w:r w:rsidR="00C31802">
        <w:t>following</w:t>
      </w:r>
      <w:r>
        <w:t xml:space="preserve"> pages for easy </w:t>
      </w:r>
      <w:r w:rsidR="00A5099D">
        <w:t xml:space="preserve">look-up and </w:t>
      </w:r>
      <w:r>
        <w:t xml:space="preserve">reference. </w:t>
      </w:r>
    </w:p>
    <w:p w14:paraId="5D98FE6D" w14:textId="77777777" w:rsidR="002A4F32" w:rsidRDefault="002A4F32" w:rsidP="002A4F32"/>
    <w:p w14:paraId="51657ECD" w14:textId="77777777" w:rsidR="00A5099D" w:rsidRDefault="00A5099D" w:rsidP="002A4F32"/>
    <w:p w14:paraId="3DBE6B32" w14:textId="77777777" w:rsidR="00A5099D" w:rsidRDefault="00A5099D" w:rsidP="002A4F32"/>
    <w:p w14:paraId="4D232625" w14:textId="77777777" w:rsidR="00A5099D" w:rsidRDefault="00A5099D" w:rsidP="002A4F32"/>
    <w:p w14:paraId="587B3022" w14:textId="77777777" w:rsidR="00A5099D" w:rsidRDefault="00A5099D" w:rsidP="002A4F32"/>
    <w:p w14:paraId="08F26843" w14:textId="77777777" w:rsidR="002A4F32" w:rsidRPr="00D6528B" w:rsidRDefault="002A4F32" w:rsidP="002A4F32">
      <w:pPr>
        <w:jc w:val="center"/>
        <w:rPr>
          <w:b/>
          <w:sz w:val="24"/>
          <w:szCs w:val="24"/>
        </w:rPr>
      </w:pPr>
      <w:r w:rsidRPr="00D6528B">
        <w:rPr>
          <w:b/>
          <w:sz w:val="24"/>
          <w:szCs w:val="24"/>
        </w:rPr>
        <w:t xml:space="preserve">Significant Emission </w:t>
      </w:r>
      <w:r w:rsidR="003C3E22">
        <w:rPr>
          <w:b/>
          <w:sz w:val="24"/>
          <w:szCs w:val="24"/>
        </w:rPr>
        <w:t>Rate</w:t>
      </w:r>
      <w:r w:rsidRPr="00D6528B">
        <w:rPr>
          <w:b/>
          <w:sz w:val="24"/>
          <w:szCs w:val="24"/>
        </w:rPr>
        <w:t xml:space="preserve"> (SER)</w:t>
      </w:r>
    </w:p>
    <w:tbl>
      <w:tblPr>
        <w:tblStyle w:val="TableGrid"/>
        <w:tblW w:w="6023" w:type="dxa"/>
        <w:jc w:val="center"/>
        <w:tblLook w:val="04A0" w:firstRow="1" w:lastRow="0" w:firstColumn="1" w:lastColumn="0" w:noHBand="0" w:noVBand="1"/>
      </w:tblPr>
      <w:tblGrid>
        <w:gridCol w:w="3473"/>
        <w:gridCol w:w="2550"/>
      </w:tblGrid>
      <w:tr w:rsidR="002A4F32" w:rsidRPr="00623ABC" w14:paraId="2527CEFC" w14:textId="77777777" w:rsidTr="00B953E3">
        <w:trPr>
          <w:cantSplit/>
          <w:tblHeader/>
          <w:jc w:val="center"/>
        </w:trPr>
        <w:tc>
          <w:tcPr>
            <w:tcW w:w="3473" w:type="dxa"/>
            <w:tcBorders>
              <w:top w:val="single" w:sz="4" w:space="0" w:color="auto"/>
              <w:left w:val="single" w:sz="4" w:space="0" w:color="auto"/>
              <w:bottom w:val="single" w:sz="12" w:space="0" w:color="auto"/>
            </w:tcBorders>
            <w:vAlign w:val="center"/>
          </w:tcPr>
          <w:p w14:paraId="569698FF" w14:textId="77777777" w:rsidR="002A4F32" w:rsidRPr="00D6528B" w:rsidRDefault="002A4F32" w:rsidP="00B953E3">
            <w:pPr>
              <w:jc w:val="center"/>
              <w:rPr>
                <w:b/>
                <w:sz w:val="24"/>
                <w:szCs w:val="24"/>
              </w:rPr>
            </w:pPr>
            <w:r w:rsidRPr="00D6528B">
              <w:rPr>
                <w:b/>
                <w:sz w:val="24"/>
                <w:szCs w:val="24"/>
              </w:rPr>
              <w:t>Pollutant</w:t>
            </w:r>
          </w:p>
        </w:tc>
        <w:tc>
          <w:tcPr>
            <w:tcW w:w="2550" w:type="dxa"/>
            <w:tcBorders>
              <w:top w:val="single" w:sz="4" w:space="0" w:color="auto"/>
              <w:bottom w:val="single" w:sz="12" w:space="0" w:color="auto"/>
              <w:right w:val="single" w:sz="4" w:space="0" w:color="auto"/>
            </w:tcBorders>
            <w:vAlign w:val="center"/>
          </w:tcPr>
          <w:p w14:paraId="6A78537D" w14:textId="77777777" w:rsidR="002A4F32" w:rsidRPr="00D6528B" w:rsidRDefault="002A4F32" w:rsidP="00B953E3">
            <w:pPr>
              <w:jc w:val="center"/>
              <w:rPr>
                <w:b/>
                <w:sz w:val="24"/>
                <w:szCs w:val="24"/>
              </w:rPr>
            </w:pPr>
            <w:r w:rsidRPr="00D6528B">
              <w:rPr>
                <w:b/>
                <w:sz w:val="24"/>
                <w:szCs w:val="24"/>
              </w:rPr>
              <w:t>SER (tpy)</w:t>
            </w:r>
          </w:p>
        </w:tc>
      </w:tr>
      <w:tr w:rsidR="002A4F32" w:rsidRPr="00623ABC" w14:paraId="7C4C3B8A" w14:textId="77777777" w:rsidTr="00B953E3">
        <w:trPr>
          <w:cantSplit/>
          <w:trHeight w:val="249"/>
          <w:jc w:val="center"/>
        </w:trPr>
        <w:tc>
          <w:tcPr>
            <w:tcW w:w="3473" w:type="dxa"/>
            <w:tcBorders>
              <w:top w:val="single" w:sz="12" w:space="0" w:color="auto"/>
              <w:left w:val="single" w:sz="4" w:space="0" w:color="auto"/>
            </w:tcBorders>
            <w:vAlign w:val="center"/>
          </w:tcPr>
          <w:p w14:paraId="033C5498" w14:textId="77777777" w:rsidR="002A4F32" w:rsidRPr="00D6528B" w:rsidRDefault="002A4F32" w:rsidP="00B953E3">
            <w:pPr>
              <w:jc w:val="center"/>
              <w:rPr>
                <w:sz w:val="24"/>
                <w:szCs w:val="24"/>
              </w:rPr>
            </w:pPr>
            <w:r w:rsidRPr="00D6528B">
              <w:rPr>
                <w:sz w:val="24"/>
                <w:szCs w:val="24"/>
              </w:rPr>
              <w:t>CO</w:t>
            </w:r>
          </w:p>
        </w:tc>
        <w:tc>
          <w:tcPr>
            <w:tcW w:w="2550" w:type="dxa"/>
            <w:tcBorders>
              <w:top w:val="single" w:sz="12" w:space="0" w:color="auto"/>
              <w:right w:val="single" w:sz="4" w:space="0" w:color="auto"/>
            </w:tcBorders>
            <w:vAlign w:val="center"/>
          </w:tcPr>
          <w:p w14:paraId="3C8603CA" w14:textId="77777777" w:rsidR="002A4F32" w:rsidRPr="00D6528B" w:rsidRDefault="002A4F32" w:rsidP="00B953E3">
            <w:pPr>
              <w:jc w:val="center"/>
              <w:rPr>
                <w:sz w:val="24"/>
                <w:szCs w:val="24"/>
              </w:rPr>
            </w:pPr>
            <w:r w:rsidRPr="00D6528B">
              <w:rPr>
                <w:sz w:val="24"/>
                <w:szCs w:val="24"/>
              </w:rPr>
              <w:t>100</w:t>
            </w:r>
          </w:p>
        </w:tc>
      </w:tr>
      <w:tr w:rsidR="002A4F32" w:rsidRPr="00623ABC" w14:paraId="539D0D8B" w14:textId="77777777" w:rsidTr="00B953E3">
        <w:trPr>
          <w:cantSplit/>
          <w:jc w:val="center"/>
        </w:trPr>
        <w:tc>
          <w:tcPr>
            <w:tcW w:w="3473" w:type="dxa"/>
            <w:tcBorders>
              <w:left w:val="single" w:sz="4" w:space="0" w:color="auto"/>
            </w:tcBorders>
            <w:vAlign w:val="center"/>
          </w:tcPr>
          <w:p w14:paraId="13952834" w14:textId="77777777" w:rsidR="002A4F32" w:rsidRPr="00D6528B" w:rsidRDefault="002A4F32" w:rsidP="00B953E3">
            <w:pPr>
              <w:jc w:val="center"/>
              <w:rPr>
                <w:sz w:val="24"/>
                <w:szCs w:val="24"/>
              </w:rPr>
            </w:pPr>
            <w:r w:rsidRPr="00D6528B">
              <w:rPr>
                <w:sz w:val="24"/>
                <w:szCs w:val="24"/>
              </w:rPr>
              <w:t>NO</w:t>
            </w:r>
            <w:r w:rsidRPr="00D6528B">
              <w:rPr>
                <w:sz w:val="24"/>
                <w:szCs w:val="24"/>
                <w:vertAlign w:val="subscript"/>
              </w:rPr>
              <w:t>2</w:t>
            </w:r>
          </w:p>
        </w:tc>
        <w:tc>
          <w:tcPr>
            <w:tcW w:w="2550" w:type="dxa"/>
            <w:tcBorders>
              <w:right w:val="single" w:sz="4" w:space="0" w:color="auto"/>
            </w:tcBorders>
            <w:vAlign w:val="center"/>
          </w:tcPr>
          <w:p w14:paraId="5C340B29" w14:textId="77777777" w:rsidR="002A4F32" w:rsidRPr="00D6528B" w:rsidRDefault="002A4F32" w:rsidP="00B953E3">
            <w:pPr>
              <w:jc w:val="center"/>
              <w:rPr>
                <w:sz w:val="24"/>
                <w:szCs w:val="24"/>
              </w:rPr>
            </w:pPr>
            <w:r w:rsidRPr="00D6528B">
              <w:rPr>
                <w:sz w:val="24"/>
                <w:szCs w:val="24"/>
              </w:rPr>
              <w:t>40</w:t>
            </w:r>
          </w:p>
        </w:tc>
      </w:tr>
      <w:tr w:rsidR="002A4F32" w:rsidRPr="00623ABC" w14:paraId="48532B0E" w14:textId="77777777" w:rsidTr="00B953E3">
        <w:trPr>
          <w:cantSplit/>
          <w:jc w:val="center"/>
        </w:trPr>
        <w:tc>
          <w:tcPr>
            <w:tcW w:w="3473" w:type="dxa"/>
            <w:tcBorders>
              <w:left w:val="single" w:sz="4" w:space="0" w:color="auto"/>
            </w:tcBorders>
            <w:vAlign w:val="center"/>
          </w:tcPr>
          <w:p w14:paraId="4B1D6BAE" w14:textId="77777777" w:rsidR="002A4F32" w:rsidRPr="00D6528B" w:rsidRDefault="002A4F32" w:rsidP="00B953E3">
            <w:pPr>
              <w:jc w:val="center"/>
              <w:rPr>
                <w:sz w:val="24"/>
                <w:szCs w:val="24"/>
              </w:rPr>
            </w:pPr>
            <w:r w:rsidRPr="00D6528B">
              <w:rPr>
                <w:sz w:val="24"/>
                <w:szCs w:val="24"/>
              </w:rPr>
              <w:t>SO</w:t>
            </w:r>
            <w:r w:rsidRPr="00D6528B">
              <w:rPr>
                <w:sz w:val="24"/>
                <w:szCs w:val="24"/>
                <w:vertAlign w:val="subscript"/>
              </w:rPr>
              <w:t>2</w:t>
            </w:r>
          </w:p>
        </w:tc>
        <w:tc>
          <w:tcPr>
            <w:tcW w:w="2550" w:type="dxa"/>
            <w:tcBorders>
              <w:right w:val="single" w:sz="4" w:space="0" w:color="auto"/>
            </w:tcBorders>
            <w:vAlign w:val="center"/>
          </w:tcPr>
          <w:p w14:paraId="42B8D86A" w14:textId="77777777" w:rsidR="002A4F32" w:rsidRPr="00D6528B" w:rsidRDefault="002A4F32" w:rsidP="00B953E3">
            <w:pPr>
              <w:jc w:val="center"/>
              <w:rPr>
                <w:sz w:val="24"/>
                <w:szCs w:val="24"/>
              </w:rPr>
            </w:pPr>
            <w:r w:rsidRPr="00D6528B">
              <w:rPr>
                <w:sz w:val="24"/>
                <w:szCs w:val="24"/>
              </w:rPr>
              <w:t>40</w:t>
            </w:r>
          </w:p>
        </w:tc>
      </w:tr>
      <w:tr w:rsidR="002A4F32" w:rsidRPr="00623ABC" w14:paraId="7916F031" w14:textId="77777777" w:rsidTr="00B953E3">
        <w:trPr>
          <w:cantSplit/>
          <w:jc w:val="center"/>
        </w:trPr>
        <w:tc>
          <w:tcPr>
            <w:tcW w:w="3473" w:type="dxa"/>
            <w:tcBorders>
              <w:left w:val="single" w:sz="4" w:space="0" w:color="auto"/>
            </w:tcBorders>
            <w:vAlign w:val="center"/>
          </w:tcPr>
          <w:p w14:paraId="39A79C0A" w14:textId="77777777" w:rsidR="002A4F32" w:rsidRPr="00D6528B" w:rsidRDefault="002A4F32" w:rsidP="00B953E3">
            <w:pPr>
              <w:jc w:val="center"/>
              <w:rPr>
                <w:sz w:val="24"/>
                <w:szCs w:val="24"/>
              </w:rPr>
            </w:pPr>
            <w:r w:rsidRPr="00D6528B">
              <w:rPr>
                <w:sz w:val="24"/>
                <w:szCs w:val="24"/>
              </w:rPr>
              <w:t>PM</w:t>
            </w:r>
            <w:r w:rsidRPr="00D6528B">
              <w:rPr>
                <w:sz w:val="24"/>
                <w:szCs w:val="24"/>
                <w:vertAlign w:val="subscript"/>
              </w:rPr>
              <w:t>10</w:t>
            </w:r>
          </w:p>
        </w:tc>
        <w:tc>
          <w:tcPr>
            <w:tcW w:w="2550" w:type="dxa"/>
            <w:tcBorders>
              <w:right w:val="single" w:sz="4" w:space="0" w:color="auto"/>
            </w:tcBorders>
            <w:vAlign w:val="center"/>
          </w:tcPr>
          <w:p w14:paraId="6E1A114F" w14:textId="77777777" w:rsidR="002A4F32" w:rsidRPr="00D6528B" w:rsidRDefault="002A4F32" w:rsidP="00B953E3">
            <w:pPr>
              <w:jc w:val="center"/>
              <w:rPr>
                <w:sz w:val="24"/>
                <w:szCs w:val="24"/>
              </w:rPr>
            </w:pPr>
            <w:r w:rsidRPr="00D6528B">
              <w:rPr>
                <w:sz w:val="24"/>
                <w:szCs w:val="24"/>
              </w:rPr>
              <w:t>15</w:t>
            </w:r>
          </w:p>
        </w:tc>
      </w:tr>
      <w:tr w:rsidR="002A4F32" w:rsidRPr="00623ABC" w14:paraId="56AE41A8" w14:textId="77777777" w:rsidTr="00B953E3">
        <w:trPr>
          <w:cantSplit/>
          <w:jc w:val="center"/>
        </w:trPr>
        <w:tc>
          <w:tcPr>
            <w:tcW w:w="3473" w:type="dxa"/>
            <w:tcBorders>
              <w:left w:val="single" w:sz="4" w:space="0" w:color="auto"/>
            </w:tcBorders>
            <w:vAlign w:val="center"/>
          </w:tcPr>
          <w:p w14:paraId="0009889B" w14:textId="77777777" w:rsidR="002A4F32" w:rsidRPr="00D6528B" w:rsidRDefault="002A4F32" w:rsidP="00B953E3">
            <w:pPr>
              <w:jc w:val="center"/>
              <w:rPr>
                <w:sz w:val="24"/>
                <w:szCs w:val="24"/>
              </w:rPr>
            </w:pPr>
            <w:r w:rsidRPr="00D6528B">
              <w:rPr>
                <w:sz w:val="24"/>
                <w:szCs w:val="24"/>
              </w:rPr>
              <w:t>PM</w:t>
            </w:r>
            <w:r w:rsidRPr="00D6528B">
              <w:rPr>
                <w:sz w:val="24"/>
                <w:szCs w:val="24"/>
                <w:vertAlign w:val="subscript"/>
              </w:rPr>
              <w:t>2.5</w:t>
            </w:r>
          </w:p>
        </w:tc>
        <w:tc>
          <w:tcPr>
            <w:tcW w:w="2550" w:type="dxa"/>
            <w:tcBorders>
              <w:right w:val="single" w:sz="4" w:space="0" w:color="auto"/>
            </w:tcBorders>
            <w:vAlign w:val="center"/>
          </w:tcPr>
          <w:p w14:paraId="08CA5F14" w14:textId="77777777" w:rsidR="002A4F32" w:rsidRPr="00D6528B" w:rsidRDefault="002A4F32" w:rsidP="00B953E3">
            <w:pPr>
              <w:jc w:val="center"/>
              <w:rPr>
                <w:sz w:val="24"/>
                <w:szCs w:val="24"/>
              </w:rPr>
            </w:pPr>
            <w:r w:rsidRPr="00D6528B">
              <w:rPr>
                <w:sz w:val="24"/>
                <w:szCs w:val="24"/>
              </w:rPr>
              <w:t>10</w:t>
            </w:r>
          </w:p>
        </w:tc>
      </w:tr>
      <w:tr w:rsidR="002A4F32" w:rsidRPr="00623ABC" w14:paraId="6330B33B" w14:textId="77777777" w:rsidTr="00B953E3">
        <w:trPr>
          <w:cantSplit/>
          <w:jc w:val="center"/>
        </w:trPr>
        <w:tc>
          <w:tcPr>
            <w:tcW w:w="3473" w:type="dxa"/>
            <w:tcBorders>
              <w:left w:val="single" w:sz="4" w:space="0" w:color="auto"/>
            </w:tcBorders>
            <w:vAlign w:val="center"/>
          </w:tcPr>
          <w:p w14:paraId="7619A4C9" w14:textId="77777777" w:rsidR="002A4F32" w:rsidRPr="00D6528B" w:rsidRDefault="002A4F32" w:rsidP="00B953E3">
            <w:pPr>
              <w:jc w:val="center"/>
              <w:rPr>
                <w:sz w:val="24"/>
                <w:szCs w:val="24"/>
              </w:rPr>
            </w:pPr>
            <w:r>
              <w:rPr>
                <w:sz w:val="24"/>
                <w:szCs w:val="24"/>
              </w:rPr>
              <w:t>Lead (</w:t>
            </w:r>
            <w:r w:rsidRPr="00D6528B">
              <w:rPr>
                <w:sz w:val="24"/>
                <w:szCs w:val="24"/>
              </w:rPr>
              <w:t>Pb</w:t>
            </w:r>
            <w:r>
              <w:rPr>
                <w:sz w:val="24"/>
                <w:szCs w:val="24"/>
              </w:rPr>
              <w:t>)</w:t>
            </w:r>
          </w:p>
        </w:tc>
        <w:tc>
          <w:tcPr>
            <w:tcW w:w="2550" w:type="dxa"/>
            <w:tcBorders>
              <w:right w:val="single" w:sz="4" w:space="0" w:color="auto"/>
            </w:tcBorders>
            <w:vAlign w:val="center"/>
          </w:tcPr>
          <w:p w14:paraId="50D3AA14" w14:textId="77777777" w:rsidR="002A4F32" w:rsidRPr="00D6528B" w:rsidRDefault="002A4F32" w:rsidP="00B953E3">
            <w:pPr>
              <w:jc w:val="center"/>
              <w:rPr>
                <w:sz w:val="24"/>
                <w:szCs w:val="24"/>
              </w:rPr>
            </w:pPr>
            <w:r w:rsidRPr="00D6528B">
              <w:rPr>
                <w:sz w:val="24"/>
                <w:szCs w:val="24"/>
              </w:rPr>
              <w:t>0.6</w:t>
            </w:r>
          </w:p>
        </w:tc>
      </w:tr>
      <w:tr w:rsidR="002A4F32" w:rsidRPr="00623ABC" w14:paraId="7899B18E" w14:textId="77777777" w:rsidTr="00B953E3">
        <w:trPr>
          <w:cantSplit/>
          <w:jc w:val="center"/>
        </w:trPr>
        <w:tc>
          <w:tcPr>
            <w:tcW w:w="3473" w:type="dxa"/>
            <w:tcBorders>
              <w:left w:val="single" w:sz="4" w:space="0" w:color="auto"/>
            </w:tcBorders>
            <w:vAlign w:val="center"/>
          </w:tcPr>
          <w:p w14:paraId="5E58C2D6" w14:textId="77777777" w:rsidR="002A4F32" w:rsidRPr="00D6528B" w:rsidRDefault="002A4F32" w:rsidP="00B953E3">
            <w:pPr>
              <w:jc w:val="center"/>
              <w:rPr>
                <w:sz w:val="24"/>
                <w:szCs w:val="24"/>
              </w:rPr>
            </w:pPr>
            <w:r w:rsidRPr="00D6528B">
              <w:rPr>
                <w:sz w:val="24"/>
                <w:szCs w:val="24"/>
              </w:rPr>
              <w:t xml:space="preserve">Total Reduced Sulfur </w:t>
            </w:r>
          </w:p>
          <w:p w14:paraId="0E3774DF" w14:textId="77777777" w:rsidR="002A4F32" w:rsidRPr="00D6528B" w:rsidRDefault="002A4F32" w:rsidP="00B953E3">
            <w:pPr>
              <w:jc w:val="center"/>
              <w:rPr>
                <w:sz w:val="24"/>
                <w:szCs w:val="24"/>
              </w:rPr>
            </w:pPr>
            <w:r w:rsidRPr="00D6528B">
              <w:rPr>
                <w:sz w:val="24"/>
                <w:szCs w:val="24"/>
              </w:rPr>
              <w:t>(including H</w:t>
            </w:r>
            <w:r w:rsidRPr="00D6528B">
              <w:rPr>
                <w:sz w:val="24"/>
                <w:szCs w:val="24"/>
                <w:vertAlign w:val="subscript"/>
              </w:rPr>
              <w:t>2</w:t>
            </w:r>
            <w:r w:rsidRPr="00D6528B">
              <w:rPr>
                <w:sz w:val="24"/>
                <w:szCs w:val="24"/>
              </w:rPr>
              <w:t xml:space="preserve">S) </w:t>
            </w:r>
          </w:p>
        </w:tc>
        <w:tc>
          <w:tcPr>
            <w:tcW w:w="2550" w:type="dxa"/>
            <w:tcBorders>
              <w:right w:val="single" w:sz="4" w:space="0" w:color="auto"/>
            </w:tcBorders>
            <w:vAlign w:val="center"/>
          </w:tcPr>
          <w:p w14:paraId="008B3C6C" w14:textId="77777777" w:rsidR="002A4F32" w:rsidRPr="00D6528B" w:rsidRDefault="002A4F32" w:rsidP="00B953E3">
            <w:pPr>
              <w:jc w:val="center"/>
              <w:rPr>
                <w:sz w:val="24"/>
                <w:szCs w:val="24"/>
              </w:rPr>
            </w:pPr>
            <w:r w:rsidRPr="00D6528B">
              <w:rPr>
                <w:sz w:val="24"/>
                <w:szCs w:val="24"/>
              </w:rPr>
              <w:t>10</w:t>
            </w:r>
          </w:p>
        </w:tc>
      </w:tr>
    </w:tbl>
    <w:p w14:paraId="3B3D88E0" w14:textId="77777777" w:rsidR="002A4F32" w:rsidRPr="00D6528B" w:rsidRDefault="00B13F93" w:rsidP="00B13F93">
      <w:pPr>
        <w:ind w:left="720" w:firstLine="720"/>
        <w:rPr>
          <w:sz w:val="24"/>
          <w:szCs w:val="24"/>
        </w:rPr>
      </w:pPr>
      <w:r>
        <w:rPr>
          <w:sz w:val="24"/>
          <w:szCs w:val="24"/>
        </w:rPr>
        <w:t xml:space="preserve">     Reference</w:t>
      </w:r>
      <w:r w:rsidR="002A4F32">
        <w:rPr>
          <w:sz w:val="24"/>
          <w:szCs w:val="24"/>
        </w:rPr>
        <w:t xml:space="preserve">:  </w:t>
      </w:r>
      <w:r w:rsidR="002A4F32" w:rsidRPr="00D6528B">
        <w:rPr>
          <w:sz w:val="24"/>
          <w:szCs w:val="24"/>
        </w:rPr>
        <w:t xml:space="preserve">Title 129 Ch. 19, </w:t>
      </w:r>
      <w:r w:rsidR="002A4F32" w:rsidRPr="00D6528B">
        <w:rPr>
          <w:sz w:val="24"/>
          <w:szCs w:val="24"/>
          <w:u w:val="single"/>
        </w:rPr>
        <w:t>010</w:t>
      </w:r>
      <w:r w:rsidR="002A4F32" w:rsidRPr="00D6528B">
        <w:rPr>
          <w:sz w:val="24"/>
          <w:szCs w:val="24"/>
        </w:rPr>
        <w:t xml:space="preserve"> and 40 CFR 51.166 (23)(</w:t>
      </w:r>
      <w:proofErr w:type="spellStart"/>
      <w:r w:rsidR="002A4F32" w:rsidRPr="00D6528B">
        <w:rPr>
          <w:sz w:val="24"/>
          <w:szCs w:val="24"/>
        </w:rPr>
        <w:t>i</w:t>
      </w:r>
      <w:proofErr w:type="spellEnd"/>
      <w:r w:rsidR="002A4F32" w:rsidRPr="00D6528B">
        <w:rPr>
          <w:sz w:val="24"/>
          <w:szCs w:val="24"/>
        </w:rPr>
        <w:t>)</w:t>
      </w:r>
    </w:p>
    <w:p w14:paraId="42B8DB28" w14:textId="77777777" w:rsidR="002A4F32" w:rsidRDefault="002A4F32" w:rsidP="002A4F32">
      <w:pPr>
        <w:rPr>
          <w:sz w:val="24"/>
          <w:szCs w:val="24"/>
        </w:rPr>
      </w:pPr>
    </w:p>
    <w:p w14:paraId="48BC68F2" w14:textId="77777777" w:rsidR="00A5099D" w:rsidRDefault="00A5099D" w:rsidP="002A4F32">
      <w:pPr>
        <w:rPr>
          <w:sz w:val="24"/>
          <w:szCs w:val="24"/>
        </w:rPr>
      </w:pPr>
    </w:p>
    <w:p w14:paraId="7F12D677" w14:textId="77777777" w:rsidR="00A5099D" w:rsidRDefault="00A5099D" w:rsidP="002A4F32">
      <w:pPr>
        <w:rPr>
          <w:sz w:val="24"/>
          <w:szCs w:val="24"/>
        </w:rPr>
      </w:pPr>
    </w:p>
    <w:p w14:paraId="10BA892C" w14:textId="77777777" w:rsidR="00A5099D" w:rsidRDefault="00A5099D" w:rsidP="002A4F32">
      <w:pPr>
        <w:rPr>
          <w:sz w:val="24"/>
          <w:szCs w:val="24"/>
        </w:rPr>
      </w:pPr>
    </w:p>
    <w:p w14:paraId="5F2D0CDD" w14:textId="77777777" w:rsidR="00A5099D" w:rsidRDefault="00A5099D" w:rsidP="002A4F32">
      <w:pPr>
        <w:rPr>
          <w:sz w:val="24"/>
          <w:szCs w:val="24"/>
        </w:rPr>
      </w:pPr>
    </w:p>
    <w:p w14:paraId="5E5356BF" w14:textId="77777777" w:rsidR="002A4F32" w:rsidRPr="002A4F32" w:rsidRDefault="002A4F32" w:rsidP="002A4F32"/>
    <w:p w14:paraId="3E33BCC5" w14:textId="77777777" w:rsidR="00EB2AED" w:rsidRDefault="00EB2AED" w:rsidP="00EB2AED">
      <w:pPr>
        <w:rPr>
          <w:b/>
        </w:rPr>
      </w:pPr>
    </w:p>
    <w:p w14:paraId="61DDB42C" w14:textId="77777777" w:rsidR="00061DEA" w:rsidRPr="00D6528B" w:rsidRDefault="00061DEA" w:rsidP="00061DEA">
      <w:pPr>
        <w:jc w:val="center"/>
        <w:rPr>
          <w:b/>
          <w:sz w:val="24"/>
          <w:szCs w:val="24"/>
        </w:rPr>
      </w:pPr>
      <w:r w:rsidRPr="00D6528B">
        <w:rPr>
          <w:b/>
          <w:sz w:val="24"/>
          <w:szCs w:val="24"/>
        </w:rPr>
        <w:t>Significant Monitoring Concentration (SMC</w:t>
      </w:r>
      <w:r>
        <w:rPr>
          <w:b/>
          <w:sz w:val="24"/>
          <w:szCs w:val="24"/>
        </w:rPr>
        <w:t>)</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243"/>
        <w:gridCol w:w="2251"/>
        <w:gridCol w:w="2621"/>
      </w:tblGrid>
      <w:tr w:rsidR="00061DEA" w:rsidRPr="008E3DA9" w14:paraId="1EC684C7" w14:textId="77777777" w:rsidTr="00B953E3">
        <w:trPr>
          <w:tblHeader/>
          <w:jc w:val="center"/>
        </w:trPr>
        <w:tc>
          <w:tcPr>
            <w:tcW w:w="2243" w:type="dxa"/>
            <w:tcBorders>
              <w:top w:val="single" w:sz="12" w:space="0" w:color="auto"/>
              <w:left w:val="single" w:sz="4" w:space="0" w:color="auto"/>
              <w:bottom w:val="single" w:sz="12" w:space="0" w:color="auto"/>
            </w:tcBorders>
            <w:vAlign w:val="center"/>
          </w:tcPr>
          <w:p w14:paraId="1155D753" w14:textId="77777777" w:rsidR="00061DEA" w:rsidRPr="00852E20" w:rsidRDefault="00061DEA" w:rsidP="00B953E3">
            <w:pPr>
              <w:jc w:val="center"/>
              <w:rPr>
                <w:b/>
                <w:sz w:val="24"/>
                <w:szCs w:val="24"/>
              </w:rPr>
            </w:pPr>
            <w:r w:rsidRPr="00852E20">
              <w:rPr>
                <w:b/>
                <w:sz w:val="24"/>
                <w:szCs w:val="24"/>
              </w:rPr>
              <w:t>Pollutant</w:t>
            </w:r>
          </w:p>
        </w:tc>
        <w:tc>
          <w:tcPr>
            <w:tcW w:w="2251" w:type="dxa"/>
            <w:tcBorders>
              <w:top w:val="single" w:sz="12" w:space="0" w:color="auto"/>
              <w:bottom w:val="single" w:sz="12" w:space="0" w:color="auto"/>
            </w:tcBorders>
            <w:vAlign w:val="center"/>
          </w:tcPr>
          <w:p w14:paraId="25324EBD" w14:textId="77777777" w:rsidR="00061DEA" w:rsidRPr="00D6528B" w:rsidRDefault="00061DEA" w:rsidP="00B953E3">
            <w:pPr>
              <w:jc w:val="center"/>
              <w:rPr>
                <w:b/>
                <w:sz w:val="24"/>
                <w:szCs w:val="24"/>
              </w:rPr>
            </w:pPr>
            <w:r w:rsidRPr="00D6528B">
              <w:rPr>
                <w:b/>
                <w:sz w:val="24"/>
                <w:szCs w:val="24"/>
              </w:rPr>
              <w:t>Averaging Period</w:t>
            </w:r>
          </w:p>
        </w:tc>
        <w:tc>
          <w:tcPr>
            <w:tcW w:w="2621" w:type="dxa"/>
            <w:tcBorders>
              <w:top w:val="single" w:sz="12" w:space="0" w:color="auto"/>
              <w:bottom w:val="single" w:sz="12" w:space="0" w:color="auto"/>
              <w:right w:val="single" w:sz="4" w:space="0" w:color="auto"/>
            </w:tcBorders>
            <w:vAlign w:val="center"/>
          </w:tcPr>
          <w:p w14:paraId="16037C5C" w14:textId="77777777" w:rsidR="00061DEA" w:rsidRPr="00D6528B" w:rsidRDefault="00061DEA" w:rsidP="00B953E3">
            <w:pPr>
              <w:jc w:val="center"/>
              <w:rPr>
                <w:b/>
                <w:sz w:val="24"/>
                <w:szCs w:val="24"/>
              </w:rPr>
            </w:pPr>
            <w:r>
              <w:rPr>
                <w:b/>
                <w:sz w:val="24"/>
                <w:szCs w:val="24"/>
              </w:rPr>
              <w:t xml:space="preserve">SMC or </w:t>
            </w:r>
            <w:r w:rsidRPr="00D6528B">
              <w:rPr>
                <w:b/>
                <w:sz w:val="24"/>
                <w:szCs w:val="24"/>
              </w:rPr>
              <w:t>De Minimis Concentration (µg/m</w:t>
            </w:r>
            <w:r w:rsidRPr="00D6528B">
              <w:rPr>
                <w:b/>
                <w:sz w:val="24"/>
                <w:szCs w:val="24"/>
                <w:vertAlign w:val="superscript"/>
              </w:rPr>
              <w:t>3</w:t>
            </w:r>
            <w:r w:rsidRPr="00D6528B">
              <w:rPr>
                <w:b/>
                <w:sz w:val="24"/>
                <w:szCs w:val="24"/>
              </w:rPr>
              <w:t>)</w:t>
            </w:r>
          </w:p>
        </w:tc>
      </w:tr>
      <w:tr w:rsidR="00061DEA" w:rsidRPr="008E3DA9" w14:paraId="54B0572E" w14:textId="77777777" w:rsidTr="00B953E3">
        <w:trPr>
          <w:jc w:val="center"/>
        </w:trPr>
        <w:tc>
          <w:tcPr>
            <w:tcW w:w="2243" w:type="dxa"/>
            <w:tcBorders>
              <w:top w:val="single" w:sz="12" w:space="0" w:color="auto"/>
              <w:left w:val="single" w:sz="4" w:space="0" w:color="auto"/>
            </w:tcBorders>
            <w:vAlign w:val="center"/>
          </w:tcPr>
          <w:p w14:paraId="40E09857" w14:textId="77777777" w:rsidR="00061DEA" w:rsidRPr="00852E20" w:rsidRDefault="00061DEA" w:rsidP="00B953E3">
            <w:pPr>
              <w:jc w:val="center"/>
              <w:rPr>
                <w:sz w:val="24"/>
                <w:szCs w:val="24"/>
              </w:rPr>
            </w:pPr>
            <w:r w:rsidRPr="00852E20">
              <w:rPr>
                <w:sz w:val="24"/>
                <w:szCs w:val="24"/>
              </w:rPr>
              <w:t>CO</w:t>
            </w:r>
          </w:p>
        </w:tc>
        <w:tc>
          <w:tcPr>
            <w:tcW w:w="2251" w:type="dxa"/>
            <w:tcBorders>
              <w:top w:val="single" w:sz="12" w:space="0" w:color="auto"/>
            </w:tcBorders>
            <w:vAlign w:val="center"/>
          </w:tcPr>
          <w:p w14:paraId="0341177A" w14:textId="77777777" w:rsidR="00061DEA" w:rsidRPr="00D6528B" w:rsidRDefault="00061DEA" w:rsidP="00B953E3">
            <w:pPr>
              <w:jc w:val="center"/>
              <w:rPr>
                <w:sz w:val="24"/>
                <w:szCs w:val="24"/>
              </w:rPr>
            </w:pPr>
            <w:r w:rsidRPr="00D6528B">
              <w:rPr>
                <w:sz w:val="24"/>
                <w:szCs w:val="24"/>
              </w:rPr>
              <w:t>8-hour</w:t>
            </w:r>
          </w:p>
        </w:tc>
        <w:tc>
          <w:tcPr>
            <w:tcW w:w="2621" w:type="dxa"/>
            <w:tcBorders>
              <w:top w:val="single" w:sz="12" w:space="0" w:color="auto"/>
              <w:right w:val="single" w:sz="4" w:space="0" w:color="auto"/>
            </w:tcBorders>
            <w:vAlign w:val="center"/>
          </w:tcPr>
          <w:p w14:paraId="732E5CF0" w14:textId="77777777" w:rsidR="00061DEA" w:rsidRPr="00D6528B" w:rsidRDefault="00061DEA" w:rsidP="00B953E3">
            <w:pPr>
              <w:jc w:val="center"/>
              <w:rPr>
                <w:sz w:val="24"/>
                <w:szCs w:val="24"/>
              </w:rPr>
            </w:pPr>
            <w:r w:rsidRPr="00D6528B">
              <w:rPr>
                <w:sz w:val="24"/>
                <w:szCs w:val="24"/>
              </w:rPr>
              <w:t>575</w:t>
            </w:r>
          </w:p>
        </w:tc>
      </w:tr>
      <w:tr w:rsidR="00061DEA" w:rsidRPr="008E3DA9" w14:paraId="7A3A0CB7" w14:textId="77777777" w:rsidTr="00B953E3">
        <w:trPr>
          <w:jc w:val="center"/>
        </w:trPr>
        <w:tc>
          <w:tcPr>
            <w:tcW w:w="2243" w:type="dxa"/>
            <w:tcBorders>
              <w:left w:val="single" w:sz="4" w:space="0" w:color="auto"/>
            </w:tcBorders>
            <w:vAlign w:val="center"/>
          </w:tcPr>
          <w:p w14:paraId="0C0D5129" w14:textId="77777777" w:rsidR="00061DEA" w:rsidRPr="00852E20" w:rsidRDefault="00061DEA" w:rsidP="00B953E3">
            <w:pPr>
              <w:jc w:val="center"/>
              <w:rPr>
                <w:sz w:val="24"/>
                <w:szCs w:val="24"/>
              </w:rPr>
            </w:pPr>
            <w:r w:rsidRPr="00852E20">
              <w:rPr>
                <w:sz w:val="24"/>
                <w:szCs w:val="24"/>
              </w:rPr>
              <w:t>NO</w:t>
            </w:r>
            <w:r w:rsidRPr="00852E20">
              <w:rPr>
                <w:sz w:val="24"/>
                <w:szCs w:val="24"/>
                <w:vertAlign w:val="subscript"/>
              </w:rPr>
              <w:t>2</w:t>
            </w:r>
          </w:p>
        </w:tc>
        <w:tc>
          <w:tcPr>
            <w:tcW w:w="2251" w:type="dxa"/>
            <w:vAlign w:val="center"/>
          </w:tcPr>
          <w:p w14:paraId="75EF5660" w14:textId="77777777" w:rsidR="00061DEA" w:rsidRPr="00D6528B" w:rsidRDefault="00061DEA" w:rsidP="00B953E3">
            <w:pPr>
              <w:jc w:val="center"/>
              <w:rPr>
                <w:sz w:val="24"/>
                <w:szCs w:val="24"/>
              </w:rPr>
            </w:pPr>
            <w:r w:rsidRPr="00D6528B">
              <w:rPr>
                <w:sz w:val="24"/>
                <w:szCs w:val="24"/>
              </w:rPr>
              <w:t>Annual average</w:t>
            </w:r>
          </w:p>
        </w:tc>
        <w:tc>
          <w:tcPr>
            <w:tcW w:w="2621" w:type="dxa"/>
            <w:tcBorders>
              <w:right w:val="single" w:sz="4" w:space="0" w:color="auto"/>
            </w:tcBorders>
            <w:vAlign w:val="center"/>
          </w:tcPr>
          <w:p w14:paraId="79D1A1D3" w14:textId="77777777" w:rsidR="00061DEA" w:rsidRPr="00D6528B" w:rsidRDefault="00061DEA" w:rsidP="00B953E3">
            <w:pPr>
              <w:jc w:val="center"/>
              <w:rPr>
                <w:sz w:val="24"/>
                <w:szCs w:val="24"/>
              </w:rPr>
            </w:pPr>
            <w:r w:rsidRPr="00D6528B">
              <w:rPr>
                <w:sz w:val="24"/>
                <w:szCs w:val="24"/>
              </w:rPr>
              <w:t>14</w:t>
            </w:r>
          </w:p>
        </w:tc>
      </w:tr>
      <w:tr w:rsidR="00061DEA" w:rsidRPr="008E3DA9" w14:paraId="7282F30B" w14:textId="77777777" w:rsidTr="00B953E3">
        <w:trPr>
          <w:jc w:val="center"/>
        </w:trPr>
        <w:tc>
          <w:tcPr>
            <w:tcW w:w="2243" w:type="dxa"/>
            <w:tcBorders>
              <w:left w:val="single" w:sz="4" w:space="0" w:color="auto"/>
            </w:tcBorders>
            <w:vAlign w:val="center"/>
          </w:tcPr>
          <w:p w14:paraId="2006CC6E" w14:textId="77777777" w:rsidR="00061DEA" w:rsidRPr="00852E20" w:rsidRDefault="00061DEA" w:rsidP="00B953E3">
            <w:pPr>
              <w:jc w:val="center"/>
              <w:rPr>
                <w:sz w:val="24"/>
                <w:szCs w:val="24"/>
              </w:rPr>
            </w:pPr>
            <w:r w:rsidRPr="00852E20">
              <w:rPr>
                <w:sz w:val="24"/>
                <w:szCs w:val="24"/>
              </w:rPr>
              <w:t>SO</w:t>
            </w:r>
            <w:r w:rsidRPr="00852E20">
              <w:rPr>
                <w:sz w:val="24"/>
                <w:szCs w:val="24"/>
                <w:vertAlign w:val="subscript"/>
              </w:rPr>
              <w:t>2</w:t>
            </w:r>
          </w:p>
        </w:tc>
        <w:tc>
          <w:tcPr>
            <w:tcW w:w="2251" w:type="dxa"/>
            <w:vAlign w:val="center"/>
          </w:tcPr>
          <w:p w14:paraId="3FDD6CDB" w14:textId="77777777" w:rsidR="00061DEA" w:rsidRPr="00D6528B" w:rsidRDefault="00061DEA" w:rsidP="00B953E3">
            <w:pPr>
              <w:jc w:val="center"/>
              <w:rPr>
                <w:sz w:val="24"/>
                <w:szCs w:val="24"/>
              </w:rPr>
            </w:pPr>
            <w:r w:rsidRPr="00D6528B">
              <w:rPr>
                <w:sz w:val="24"/>
                <w:szCs w:val="24"/>
              </w:rPr>
              <w:t>24-hour</w:t>
            </w:r>
          </w:p>
        </w:tc>
        <w:tc>
          <w:tcPr>
            <w:tcW w:w="2621" w:type="dxa"/>
            <w:tcBorders>
              <w:right w:val="single" w:sz="4" w:space="0" w:color="auto"/>
            </w:tcBorders>
            <w:vAlign w:val="center"/>
          </w:tcPr>
          <w:p w14:paraId="2CA5DFAE" w14:textId="77777777" w:rsidR="00061DEA" w:rsidRPr="00D6528B" w:rsidRDefault="00061DEA" w:rsidP="00B953E3">
            <w:pPr>
              <w:jc w:val="center"/>
              <w:rPr>
                <w:sz w:val="24"/>
                <w:szCs w:val="24"/>
              </w:rPr>
            </w:pPr>
            <w:r w:rsidRPr="00D6528B">
              <w:rPr>
                <w:sz w:val="24"/>
                <w:szCs w:val="24"/>
              </w:rPr>
              <w:t>13</w:t>
            </w:r>
          </w:p>
        </w:tc>
      </w:tr>
      <w:tr w:rsidR="00061DEA" w:rsidRPr="008E3DA9" w14:paraId="719DFF00" w14:textId="77777777" w:rsidTr="00B953E3">
        <w:trPr>
          <w:jc w:val="center"/>
        </w:trPr>
        <w:tc>
          <w:tcPr>
            <w:tcW w:w="2243" w:type="dxa"/>
            <w:tcBorders>
              <w:left w:val="single" w:sz="4" w:space="0" w:color="auto"/>
            </w:tcBorders>
            <w:vAlign w:val="center"/>
          </w:tcPr>
          <w:p w14:paraId="24B2EF39" w14:textId="77777777" w:rsidR="00061DEA" w:rsidRPr="00852E20" w:rsidRDefault="00061DEA" w:rsidP="00B953E3">
            <w:pPr>
              <w:jc w:val="center"/>
              <w:rPr>
                <w:sz w:val="24"/>
                <w:szCs w:val="24"/>
              </w:rPr>
            </w:pPr>
            <w:r w:rsidRPr="00852E20">
              <w:rPr>
                <w:sz w:val="24"/>
                <w:szCs w:val="24"/>
              </w:rPr>
              <w:t>PM</w:t>
            </w:r>
            <w:r w:rsidRPr="00852E20">
              <w:rPr>
                <w:sz w:val="24"/>
                <w:szCs w:val="24"/>
                <w:vertAlign w:val="subscript"/>
              </w:rPr>
              <w:t>10</w:t>
            </w:r>
          </w:p>
        </w:tc>
        <w:tc>
          <w:tcPr>
            <w:tcW w:w="2251" w:type="dxa"/>
            <w:vAlign w:val="center"/>
          </w:tcPr>
          <w:p w14:paraId="7F902BDB" w14:textId="77777777" w:rsidR="00061DEA" w:rsidRPr="00D6528B" w:rsidRDefault="00061DEA" w:rsidP="00B953E3">
            <w:pPr>
              <w:jc w:val="center"/>
              <w:rPr>
                <w:sz w:val="24"/>
                <w:szCs w:val="24"/>
              </w:rPr>
            </w:pPr>
            <w:r w:rsidRPr="00D6528B">
              <w:rPr>
                <w:sz w:val="24"/>
                <w:szCs w:val="24"/>
              </w:rPr>
              <w:t>24-hour</w:t>
            </w:r>
          </w:p>
        </w:tc>
        <w:tc>
          <w:tcPr>
            <w:tcW w:w="2621" w:type="dxa"/>
            <w:tcBorders>
              <w:right w:val="single" w:sz="4" w:space="0" w:color="auto"/>
            </w:tcBorders>
            <w:vAlign w:val="center"/>
          </w:tcPr>
          <w:p w14:paraId="58EF5BB4" w14:textId="77777777" w:rsidR="00061DEA" w:rsidRPr="00D6528B" w:rsidRDefault="00061DEA" w:rsidP="00B953E3">
            <w:pPr>
              <w:jc w:val="center"/>
              <w:rPr>
                <w:sz w:val="24"/>
                <w:szCs w:val="24"/>
              </w:rPr>
            </w:pPr>
            <w:r w:rsidRPr="00D6528B">
              <w:rPr>
                <w:sz w:val="24"/>
                <w:szCs w:val="24"/>
              </w:rPr>
              <w:t>10</w:t>
            </w:r>
          </w:p>
        </w:tc>
      </w:tr>
      <w:tr w:rsidR="00061DEA" w:rsidRPr="008E3DA9" w14:paraId="141FCC5C" w14:textId="77777777" w:rsidTr="00B953E3">
        <w:trPr>
          <w:jc w:val="center"/>
        </w:trPr>
        <w:tc>
          <w:tcPr>
            <w:tcW w:w="2243" w:type="dxa"/>
            <w:tcBorders>
              <w:left w:val="single" w:sz="4" w:space="0" w:color="auto"/>
            </w:tcBorders>
            <w:vAlign w:val="center"/>
          </w:tcPr>
          <w:p w14:paraId="554C9171" w14:textId="77777777" w:rsidR="00061DEA" w:rsidRPr="00852E20" w:rsidRDefault="00061DEA" w:rsidP="00B953E3">
            <w:pPr>
              <w:jc w:val="center"/>
              <w:rPr>
                <w:sz w:val="24"/>
                <w:szCs w:val="24"/>
              </w:rPr>
            </w:pPr>
            <w:r w:rsidRPr="00852E20">
              <w:rPr>
                <w:sz w:val="24"/>
                <w:szCs w:val="24"/>
              </w:rPr>
              <w:t>PM</w:t>
            </w:r>
            <w:r w:rsidRPr="00852E20">
              <w:rPr>
                <w:sz w:val="24"/>
                <w:szCs w:val="24"/>
                <w:vertAlign w:val="subscript"/>
              </w:rPr>
              <w:t>2.5</w:t>
            </w:r>
          </w:p>
        </w:tc>
        <w:tc>
          <w:tcPr>
            <w:tcW w:w="4872" w:type="dxa"/>
            <w:gridSpan w:val="2"/>
            <w:tcBorders>
              <w:right w:val="single" w:sz="4" w:space="0" w:color="auto"/>
            </w:tcBorders>
            <w:vAlign w:val="center"/>
          </w:tcPr>
          <w:p w14:paraId="7574925C" w14:textId="77777777" w:rsidR="00061DEA" w:rsidRPr="008E3DA9" w:rsidRDefault="00061DEA" w:rsidP="00B953E3">
            <w:pPr>
              <w:jc w:val="center"/>
              <w:rPr>
                <w:sz w:val="24"/>
                <w:szCs w:val="24"/>
              </w:rPr>
            </w:pPr>
            <w:r w:rsidRPr="008B39BC">
              <w:rPr>
                <w:sz w:val="24"/>
                <w:szCs w:val="24"/>
              </w:rPr>
              <w:t>In accordance with Sierra Club v. EPA, 706 F.3d 428 (D.C. Cir. 2013), no exemption is available with regard to PM</w:t>
            </w:r>
            <w:r w:rsidRPr="008B39BC">
              <w:rPr>
                <w:sz w:val="24"/>
                <w:szCs w:val="24"/>
                <w:vertAlign w:val="subscript"/>
              </w:rPr>
              <w:t>2.5</w:t>
            </w:r>
          </w:p>
        </w:tc>
      </w:tr>
      <w:tr w:rsidR="00061DEA" w:rsidRPr="008E3DA9" w14:paraId="241C79F0" w14:textId="77777777" w:rsidTr="00B953E3">
        <w:trPr>
          <w:jc w:val="center"/>
        </w:trPr>
        <w:tc>
          <w:tcPr>
            <w:tcW w:w="2243" w:type="dxa"/>
            <w:tcBorders>
              <w:left w:val="single" w:sz="4" w:space="0" w:color="auto"/>
            </w:tcBorders>
            <w:vAlign w:val="center"/>
          </w:tcPr>
          <w:p w14:paraId="22EF9F7E" w14:textId="77777777" w:rsidR="00061DEA" w:rsidRPr="00852E20" w:rsidRDefault="00061DEA" w:rsidP="00B953E3">
            <w:pPr>
              <w:jc w:val="center"/>
              <w:rPr>
                <w:sz w:val="24"/>
                <w:szCs w:val="24"/>
              </w:rPr>
            </w:pPr>
            <w:r w:rsidRPr="00852E20">
              <w:rPr>
                <w:sz w:val="24"/>
                <w:szCs w:val="24"/>
              </w:rPr>
              <w:t>Lead (Pb)</w:t>
            </w:r>
          </w:p>
        </w:tc>
        <w:tc>
          <w:tcPr>
            <w:tcW w:w="2251" w:type="dxa"/>
            <w:vAlign w:val="center"/>
          </w:tcPr>
          <w:p w14:paraId="5DC675D8" w14:textId="77777777" w:rsidR="00061DEA" w:rsidRPr="00D6528B" w:rsidRDefault="00061DEA" w:rsidP="00B953E3">
            <w:pPr>
              <w:jc w:val="center"/>
              <w:rPr>
                <w:sz w:val="24"/>
                <w:szCs w:val="24"/>
              </w:rPr>
            </w:pPr>
            <w:r w:rsidRPr="00D6528B">
              <w:rPr>
                <w:sz w:val="24"/>
                <w:szCs w:val="24"/>
              </w:rPr>
              <w:t>3-month average</w:t>
            </w:r>
          </w:p>
        </w:tc>
        <w:tc>
          <w:tcPr>
            <w:tcW w:w="2621" w:type="dxa"/>
            <w:tcBorders>
              <w:right w:val="single" w:sz="4" w:space="0" w:color="auto"/>
            </w:tcBorders>
            <w:vAlign w:val="center"/>
          </w:tcPr>
          <w:p w14:paraId="21A3CDD7" w14:textId="77777777" w:rsidR="00061DEA" w:rsidRPr="00D6528B" w:rsidRDefault="00061DEA" w:rsidP="00B953E3">
            <w:pPr>
              <w:jc w:val="center"/>
              <w:rPr>
                <w:sz w:val="24"/>
                <w:szCs w:val="24"/>
              </w:rPr>
            </w:pPr>
            <w:r w:rsidRPr="00D6528B">
              <w:rPr>
                <w:sz w:val="24"/>
                <w:szCs w:val="24"/>
              </w:rPr>
              <w:t>0.1</w:t>
            </w:r>
          </w:p>
        </w:tc>
      </w:tr>
      <w:tr w:rsidR="00061DEA" w:rsidRPr="008E3DA9" w14:paraId="3E2FE33F" w14:textId="77777777" w:rsidTr="00B953E3">
        <w:trPr>
          <w:jc w:val="center"/>
        </w:trPr>
        <w:tc>
          <w:tcPr>
            <w:tcW w:w="2243" w:type="dxa"/>
            <w:tcBorders>
              <w:left w:val="single" w:sz="4" w:space="0" w:color="auto"/>
            </w:tcBorders>
            <w:vAlign w:val="center"/>
          </w:tcPr>
          <w:p w14:paraId="737EB4F1" w14:textId="77777777" w:rsidR="00061DEA" w:rsidRPr="00852E20" w:rsidRDefault="00061DEA" w:rsidP="00B953E3">
            <w:pPr>
              <w:jc w:val="center"/>
              <w:rPr>
                <w:sz w:val="24"/>
                <w:szCs w:val="24"/>
              </w:rPr>
            </w:pPr>
            <w:r w:rsidRPr="00852E20">
              <w:rPr>
                <w:sz w:val="24"/>
                <w:szCs w:val="24"/>
              </w:rPr>
              <w:t>Total Reduced Sulfur</w:t>
            </w:r>
          </w:p>
        </w:tc>
        <w:tc>
          <w:tcPr>
            <w:tcW w:w="2251" w:type="dxa"/>
            <w:vAlign w:val="center"/>
          </w:tcPr>
          <w:p w14:paraId="5EF069B3" w14:textId="77777777" w:rsidR="00061DEA" w:rsidRPr="00D6528B" w:rsidRDefault="00061DEA" w:rsidP="00B953E3">
            <w:pPr>
              <w:jc w:val="center"/>
              <w:rPr>
                <w:sz w:val="24"/>
                <w:szCs w:val="24"/>
              </w:rPr>
            </w:pPr>
            <w:r w:rsidRPr="00D6528B">
              <w:rPr>
                <w:sz w:val="24"/>
                <w:szCs w:val="24"/>
              </w:rPr>
              <w:t>1-hour average</w:t>
            </w:r>
          </w:p>
        </w:tc>
        <w:tc>
          <w:tcPr>
            <w:tcW w:w="2621" w:type="dxa"/>
            <w:tcBorders>
              <w:right w:val="single" w:sz="4" w:space="0" w:color="auto"/>
            </w:tcBorders>
            <w:vAlign w:val="center"/>
          </w:tcPr>
          <w:p w14:paraId="4813E473" w14:textId="77777777" w:rsidR="00061DEA" w:rsidRPr="00D6528B" w:rsidRDefault="00061DEA" w:rsidP="00B953E3">
            <w:pPr>
              <w:jc w:val="center"/>
              <w:rPr>
                <w:sz w:val="24"/>
                <w:szCs w:val="24"/>
              </w:rPr>
            </w:pPr>
            <w:r w:rsidRPr="00D6528B">
              <w:rPr>
                <w:sz w:val="24"/>
                <w:szCs w:val="24"/>
              </w:rPr>
              <w:t>10</w:t>
            </w:r>
          </w:p>
        </w:tc>
      </w:tr>
    </w:tbl>
    <w:p w14:paraId="4E2DCF10" w14:textId="77777777" w:rsidR="00061DEA" w:rsidRDefault="00B13F93" w:rsidP="00061DEA">
      <w:pPr>
        <w:ind w:left="720"/>
        <w:rPr>
          <w:sz w:val="24"/>
          <w:szCs w:val="24"/>
        </w:rPr>
      </w:pPr>
      <w:r>
        <w:rPr>
          <w:sz w:val="24"/>
          <w:szCs w:val="24"/>
        </w:rPr>
        <w:t xml:space="preserve">    Reference: </w:t>
      </w:r>
      <w:r w:rsidR="00061DEA">
        <w:rPr>
          <w:sz w:val="24"/>
          <w:szCs w:val="24"/>
        </w:rPr>
        <w:t xml:space="preserve">  </w:t>
      </w:r>
      <w:r w:rsidR="00061DEA" w:rsidRPr="00D6528B">
        <w:rPr>
          <w:sz w:val="24"/>
          <w:szCs w:val="24"/>
        </w:rPr>
        <w:t xml:space="preserve">Title 129, Ch. 19, </w:t>
      </w:r>
      <w:r w:rsidR="00061DEA" w:rsidRPr="00D6528B">
        <w:rPr>
          <w:sz w:val="24"/>
          <w:szCs w:val="24"/>
          <w:u w:val="single"/>
        </w:rPr>
        <w:t>016.07A</w:t>
      </w:r>
      <w:r w:rsidR="00061DEA">
        <w:rPr>
          <w:sz w:val="24"/>
          <w:szCs w:val="24"/>
        </w:rPr>
        <w:t xml:space="preserve"> and 40 CFR 52.21 (</w:t>
      </w:r>
      <w:proofErr w:type="spellStart"/>
      <w:r w:rsidR="00061DEA">
        <w:rPr>
          <w:sz w:val="24"/>
          <w:szCs w:val="24"/>
        </w:rPr>
        <w:t>i</w:t>
      </w:r>
      <w:proofErr w:type="spellEnd"/>
      <w:r w:rsidR="00061DEA">
        <w:rPr>
          <w:sz w:val="24"/>
          <w:szCs w:val="24"/>
        </w:rPr>
        <w:t>)(5)(</w:t>
      </w:r>
      <w:proofErr w:type="spellStart"/>
      <w:r w:rsidR="00061DEA">
        <w:rPr>
          <w:sz w:val="24"/>
          <w:szCs w:val="24"/>
        </w:rPr>
        <w:t>i</w:t>
      </w:r>
      <w:proofErr w:type="spellEnd"/>
      <w:r w:rsidR="00061DEA">
        <w:rPr>
          <w:sz w:val="24"/>
          <w:szCs w:val="24"/>
        </w:rPr>
        <w:t>)(a) thru (</w:t>
      </w:r>
      <w:proofErr w:type="spellStart"/>
      <w:r w:rsidR="00061DEA">
        <w:rPr>
          <w:sz w:val="24"/>
          <w:szCs w:val="24"/>
        </w:rPr>
        <w:t>i</w:t>
      </w:r>
      <w:proofErr w:type="spellEnd"/>
      <w:r w:rsidR="00061DEA">
        <w:rPr>
          <w:sz w:val="24"/>
          <w:szCs w:val="24"/>
        </w:rPr>
        <w:t>)</w:t>
      </w:r>
    </w:p>
    <w:p w14:paraId="4E6D7739" w14:textId="77777777" w:rsidR="00061DEA" w:rsidRDefault="00061DEA" w:rsidP="00061DEA">
      <w:pPr>
        <w:ind w:left="720"/>
        <w:rPr>
          <w:sz w:val="24"/>
          <w:szCs w:val="24"/>
        </w:rPr>
      </w:pPr>
    </w:p>
    <w:p w14:paraId="58839A73" w14:textId="77777777" w:rsidR="00A5099D" w:rsidRDefault="00A5099D">
      <w:pPr>
        <w:rPr>
          <w:sz w:val="24"/>
          <w:szCs w:val="24"/>
        </w:rPr>
      </w:pPr>
      <w:r>
        <w:rPr>
          <w:sz w:val="24"/>
          <w:szCs w:val="24"/>
        </w:rPr>
        <w:br w:type="page"/>
      </w:r>
    </w:p>
    <w:p w14:paraId="4BC91853" w14:textId="77777777" w:rsidR="002A4F32" w:rsidRPr="00B13F93" w:rsidRDefault="002A4F32" w:rsidP="002A4F32">
      <w:pPr>
        <w:jc w:val="center"/>
        <w:rPr>
          <w:b/>
          <w:sz w:val="24"/>
          <w:szCs w:val="24"/>
        </w:rPr>
      </w:pPr>
      <w:r w:rsidRPr="007C6C72">
        <w:rPr>
          <w:b/>
          <w:sz w:val="24"/>
          <w:szCs w:val="24"/>
        </w:rPr>
        <w:lastRenderedPageBreak/>
        <w:t xml:space="preserve">Ambient Air Class II </w:t>
      </w:r>
      <w:r w:rsidR="0034342F">
        <w:rPr>
          <w:b/>
          <w:sz w:val="24"/>
          <w:szCs w:val="24"/>
        </w:rPr>
        <w:t xml:space="preserve">PSD </w:t>
      </w:r>
      <w:r w:rsidRPr="007C6C72">
        <w:rPr>
          <w:b/>
          <w:sz w:val="24"/>
          <w:szCs w:val="24"/>
        </w:rPr>
        <w:t>Increments</w:t>
      </w:r>
    </w:p>
    <w:tbl>
      <w:tblPr>
        <w:tblStyle w:val="TableGrid"/>
        <w:tblW w:w="5707" w:type="dxa"/>
        <w:jc w:val="center"/>
        <w:tblLook w:val="04A0" w:firstRow="1" w:lastRow="0" w:firstColumn="1" w:lastColumn="0" w:noHBand="0" w:noVBand="1"/>
      </w:tblPr>
      <w:tblGrid>
        <w:gridCol w:w="1523"/>
        <w:gridCol w:w="2280"/>
        <w:gridCol w:w="1904"/>
      </w:tblGrid>
      <w:tr w:rsidR="002A4F32" w:rsidRPr="000E3440" w14:paraId="3A5FB3FA" w14:textId="77777777" w:rsidTr="00B953E3">
        <w:trPr>
          <w:trHeight w:val="516"/>
          <w:tblHeader/>
          <w:jc w:val="center"/>
        </w:trPr>
        <w:tc>
          <w:tcPr>
            <w:tcW w:w="1523" w:type="dxa"/>
            <w:tcBorders>
              <w:top w:val="single" w:sz="12" w:space="0" w:color="auto"/>
              <w:left w:val="single" w:sz="4" w:space="0" w:color="auto"/>
              <w:bottom w:val="single" w:sz="4" w:space="0" w:color="auto"/>
            </w:tcBorders>
            <w:vAlign w:val="center"/>
          </w:tcPr>
          <w:p w14:paraId="7CB70D3A" w14:textId="77777777" w:rsidR="002A4F32" w:rsidRPr="00E13198" w:rsidRDefault="002A4F32" w:rsidP="00B953E3">
            <w:pPr>
              <w:jc w:val="center"/>
              <w:rPr>
                <w:b/>
                <w:sz w:val="24"/>
                <w:szCs w:val="24"/>
              </w:rPr>
            </w:pPr>
            <w:r w:rsidRPr="00E13198">
              <w:rPr>
                <w:b/>
                <w:sz w:val="24"/>
                <w:szCs w:val="24"/>
              </w:rPr>
              <w:t>Pollutant</w:t>
            </w:r>
          </w:p>
        </w:tc>
        <w:tc>
          <w:tcPr>
            <w:tcW w:w="2280" w:type="dxa"/>
            <w:tcBorders>
              <w:top w:val="single" w:sz="12" w:space="0" w:color="auto"/>
              <w:bottom w:val="single" w:sz="12" w:space="0" w:color="auto"/>
            </w:tcBorders>
            <w:vAlign w:val="center"/>
          </w:tcPr>
          <w:p w14:paraId="15836B8D" w14:textId="77777777" w:rsidR="002A4F32" w:rsidRPr="00E13198" w:rsidRDefault="002A4F32" w:rsidP="00B953E3">
            <w:pPr>
              <w:jc w:val="center"/>
              <w:rPr>
                <w:b/>
                <w:sz w:val="24"/>
                <w:szCs w:val="24"/>
              </w:rPr>
            </w:pPr>
            <w:r w:rsidRPr="00E13198">
              <w:rPr>
                <w:b/>
                <w:sz w:val="24"/>
                <w:szCs w:val="24"/>
              </w:rPr>
              <w:t>Averaging Period</w:t>
            </w:r>
          </w:p>
        </w:tc>
        <w:tc>
          <w:tcPr>
            <w:tcW w:w="1904" w:type="dxa"/>
            <w:tcBorders>
              <w:top w:val="single" w:sz="12" w:space="0" w:color="auto"/>
              <w:bottom w:val="single" w:sz="12" w:space="0" w:color="auto"/>
            </w:tcBorders>
            <w:vAlign w:val="center"/>
          </w:tcPr>
          <w:p w14:paraId="6DC1AEE7" w14:textId="77777777" w:rsidR="002A4F32" w:rsidRPr="00E13198" w:rsidRDefault="002A4F32" w:rsidP="00B953E3">
            <w:pPr>
              <w:jc w:val="center"/>
              <w:rPr>
                <w:b/>
                <w:sz w:val="24"/>
                <w:szCs w:val="24"/>
              </w:rPr>
            </w:pPr>
            <w:r w:rsidRPr="00E13198">
              <w:rPr>
                <w:b/>
                <w:sz w:val="24"/>
                <w:szCs w:val="24"/>
              </w:rPr>
              <w:t xml:space="preserve">Class II Increment </w:t>
            </w:r>
            <w:r w:rsidRPr="00E13198">
              <w:rPr>
                <w:b/>
                <w:sz w:val="24"/>
                <w:szCs w:val="24"/>
                <w:vertAlign w:val="superscript"/>
              </w:rPr>
              <w:t xml:space="preserve">(1)  </w:t>
            </w:r>
            <w:r w:rsidRPr="00E13198">
              <w:rPr>
                <w:b/>
                <w:sz w:val="24"/>
                <w:szCs w:val="24"/>
              </w:rPr>
              <w:t>µg/m</w:t>
            </w:r>
            <w:r w:rsidRPr="00E13198">
              <w:rPr>
                <w:b/>
                <w:sz w:val="24"/>
                <w:szCs w:val="24"/>
                <w:vertAlign w:val="superscript"/>
              </w:rPr>
              <w:t>3</w:t>
            </w:r>
          </w:p>
        </w:tc>
      </w:tr>
      <w:tr w:rsidR="002A4F32" w:rsidRPr="000E3440" w14:paraId="3D58AC30" w14:textId="77777777" w:rsidTr="00B953E3">
        <w:trPr>
          <w:jc w:val="center"/>
        </w:trPr>
        <w:tc>
          <w:tcPr>
            <w:tcW w:w="1523" w:type="dxa"/>
            <w:tcBorders>
              <w:left w:val="single" w:sz="4" w:space="0" w:color="auto"/>
            </w:tcBorders>
            <w:vAlign w:val="center"/>
          </w:tcPr>
          <w:p w14:paraId="04885291" w14:textId="77777777" w:rsidR="002A4F32" w:rsidRPr="00E13198" w:rsidRDefault="002A4F32" w:rsidP="00B953E3">
            <w:pPr>
              <w:jc w:val="center"/>
              <w:rPr>
                <w:sz w:val="24"/>
                <w:szCs w:val="24"/>
              </w:rPr>
            </w:pPr>
            <w:r w:rsidRPr="00E13198">
              <w:rPr>
                <w:sz w:val="24"/>
                <w:szCs w:val="24"/>
              </w:rPr>
              <w:t>NO</w:t>
            </w:r>
            <w:r w:rsidRPr="00E13198">
              <w:rPr>
                <w:sz w:val="24"/>
                <w:szCs w:val="24"/>
                <w:vertAlign w:val="subscript"/>
              </w:rPr>
              <w:t>2</w:t>
            </w:r>
          </w:p>
        </w:tc>
        <w:tc>
          <w:tcPr>
            <w:tcW w:w="2280" w:type="dxa"/>
            <w:vAlign w:val="center"/>
          </w:tcPr>
          <w:p w14:paraId="7CD448DB" w14:textId="77777777" w:rsidR="002A4F32" w:rsidRPr="00E13198" w:rsidRDefault="002A4F32" w:rsidP="00B953E3">
            <w:pPr>
              <w:rPr>
                <w:sz w:val="24"/>
                <w:szCs w:val="24"/>
              </w:rPr>
            </w:pPr>
            <w:r w:rsidRPr="00E13198">
              <w:rPr>
                <w:sz w:val="24"/>
                <w:szCs w:val="24"/>
              </w:rPr>
              <w:t>Annual arithmetic mean</w:t>
            </w:r>
          </w:p>
        </w:tc>
        <w:tc>
          <w:tcPr>
            <w:tcW w:w="1904" w:type="dxa"/>
            <w:vAlign w:val="center"/>
          </w:tcPr>
          <w:p w14:paraId="76FC04FF" w14:textId="77777777" w:rsidR="002A4F32" w:rsidRPr="00E13198" w:rsidRDefault="002A4F32" w:rsidP="00B953E3">
            <w:pPr>
              <w:jc w:val="center"/>
              <w:rPr>
                <w:sz w:val="24"/>
                <w:szCs w:val="24"/>
              </w:rPr>
            </w:pPr>
            <w:r w:rsidRPr="00E13198">
              <w:rPr>
                <w:sz w:val="24"/>
                <w:szCs w:val="24"/>
              </w:rPr>
              <w:t>25</w:t>
            </w:r>
          </w:p>
        </w:tc>
      </w:tr>
      <w:tr w:rsidR="002A4F32" w:rsidRPr="000E3440" w14:paraId="4B6FBE12" w14:textId="77777777" w:rsidTr="00B953E3">
        <w:trPr>
          <w:jc w:val="center"/>
        </w:trPr>
        <w:tc>
          <w:tcPr>
            <w:tcW w:w="1523" w:type="dxa"/>
            <w:vMerge w:val="restart"/>
            <w:tcBorders>
              <w:left w:val="single" w:sz="4" w:space="0" w:color="auto"/>
            </w:tcBorders>
            <w:vAlign w:val="center"/>
          </w:tcPr>
          <w:p w14:paraId="0DD28987" w14:textId="77777777" w:rsidR="002A4F32" w:rsidRPr="00E13198" w:rsidRDefault="002A4F32" w:rsidP="00B953E3">
            <w:pPr>
              <w:jc w:val="center"/>
              <w:rPr>
                <w:sz w:val="24"/>
                <w:szCs w:val="24"/>
              </w:rPr>
            </w:pPr>
            <w:r w:rsidRPr="00E13198">
              <w:rPr>
                <w:sz w:val="24"/>
                <w:szCs w:val="24"/>
              </w:rPr>
              <w:t>SO</w:t>
            </w:r>
            <w:r w:rsidRPr="00E13198">
              <w:rPr>
                <w:sz w:val="24"/>
                <w:szCs w:val="24"/>
                <w:vertAlign w:val="subscript"/>
              </w:rPr>
              <w:t>2</w:t>
            </w:r>
          </w:p>
        </w:tc>
        <w:tc>
          <w:tcPr>
            <w:tcW w:w="2280" w:type="dxa"/>
            <w:vAlign w:val="center"/>
          </w:tcPr>
          <w:p w14:paraId="60F2BC95" w14:textId="77777777" w:rsidR="002A4F32" w:rsidRPr="00E13198" w:rsidRDefault="002A4F32" w:rsidP="00B953E3">
            <w:pPr>
              <w:rPr>
                <w:sz w:val="24"/>
                <w:szCs w:val="24"/>
              </w:rPr>
            </w:pPr>
            <w:r w:rsidRPr="00E13198">
              <w:rPr>
                <w:sz w:val="24"/>
                <w:szCs w:val="24"/>
              </w:rPr>
              <w:t>Annual arithmetic mean</w:t>
            </w:r>
          </w:p>
        </w:tc>
        <w:tc>
          <w:tcPr>
            <w:tcW w:w="1904" w:type="dxa"/>
            <w:vAlign w:val="center"/>
          </w:tcPr>
          <w:p w14:paraId="5B399757" w14:textId="77777777" w:rsidR="002A4F32" w:rsidRPr="00E13198" w:rsidRDefault="002A4F32" w:rsidP="00B953E3">
            <w:pPr>
              <w:jc w:val="center"/>
              <w:rPr>
                <w:sz w:val="24"/>
                <w:szCs w:val="24"/>
              </w:rPr>
            </w:pPr>
            <w:r w:rsidRPr="00E13198">
              <w:rPr>
                <w:sz w:val="24"/>
                <w:szCs w:val="24"/>
              </w:rPr>
              <w:t>20</w:t>
            </w:r>
          </w:p>
        </w:tc>
      </w:tr>
      <w:tr w:rsidR="002A4F32" w:rsidRPr="000E3440" w14:paraId="424A72EC" w14:textId="77777777" w:rsidTr="00B953E3">
        <w:trPr>
          <w:jc w:val="center"/>
        </w:trPr>
        <w:tc>
          <w:tcPr>
            <w:tcW w:w="1523" w:type="dxa"/>
            <w:vMerge/>
            <w:tcBorders>
              <w:left w:val="single" w:sz="4" w:space="0" w:color="auto"/>
            </w:tcBorders>
            <w:vAlign w:val="center"/>
          </w:tcPr>
          <w:p w14:paraId="18DB8DBC" w14:textId="77777777" w:rsidR="002A4F32" w:rsidRPr="00E13198" w:rsidRDefault="002A4F32" w:rsidP="00B953E3">
            <w:pPr>
              <w:jc w:val="center"/>
              <w:rPr>
                <w:sz w:val="24"/>
                <w:szCs w:val="24"/>
              </w:rPr>
            </w:pPr>
          </w:p>
        </w:tc>
        <w:tc>
          <w:tcPr>
            <w:tcW w:w="2280" w:type="dxa"/>
            <w:vAlign w:val="center"/>
          </w:tcPr>
          <w:p w14:paraId="39D92CEE" w14:textId="77777777" w:rsidR="002A4F32" w:rsidRPr="00E13198" w:rsidRDefault="002A4F32" w:rsidP="00B953E3">
            <w:pPr>
              <w:rPr>
                <w:sz w:val="24"/>
                <w:szCs w:val="24"/>
              </w:rPr>
            </w:pPr>
            <w:r w:rsidRPr="00E13198">
              <w:rPr>
                <w:sz w:val="24"/>
                <w:szCs w:val="24"/>
              </w:rPr>
              <w:t>24-hour maximum</w:t>
            </w:r>
          </w:p>
        </w:tc>
        <w:tc>
          <w:tcPr>
            <w:tcW w:w="1904" w:type="dxa"/>
            <w:vAlign w:val="center"/>
          </w:tcPr>
          <w:p w14:paraId="5B9D72D0" w14:textId="77777777" w:rsidR="002A4F32" w:rsidRPr="00E13198" w:rsidRDefault="002A4F32" w:rsidP="00B953E3">
            <w:pPr>
              <w:jc w:val="center"/>
              <w:rPr>
                <w:sz w:val="24"/>
                <w:szCs w:val="24"/>
              </w:rPr>
            </w:pPr>
            <w:r w:rsidRPr="00E13198">
              <w:rPr>
                <w:sz w:val="24"/>
                <w:szCs w:val="24"/>
              </w:rPr>
              <w:t>91</w:t>
            </w:r>
          </w:p>
        </w:tc>
      </w:tr>
      <w:tr w:rsidR="002A4F32" w:rsidRPr="000E3440" w14:paraId="31D33D22" w14:textId="77777777" w:rsidTr="00B953E3">
        <w:trPr>
          <w:jc w:val="center"/>
        </w:trPr>
        <w:tc>
          <w:tcPr>
            <w:tcW w:w="1523" w:type="dxa"/>
            <w:vMerge/>
            <w:tcBorders>
              <w:left w:val="single" w:sz="4" w:space="0" w:color="auto"/>
            </w:tcBorders>
            <w:vAlign w:val="center"/>
          </w:tcPr>
          <w:p w14:paraId="3D27AE03" w14:textId="77777777" w:rsidR="002A4F32" w:rsidRPr="00E13198" w:rsidRDefault="002A4F32" w:rsidP="00B953E3">
            <w:pPr>
              <w:jc w:val="center"/>
              <w:rPr>
                <w:sz w:val="24"/>
                <w:szCs w:val="24"/>
              </w:rPr>
            </w:pPr>
          </w:p>
        </w:tc>
        <w:tc>
          <w:tcPr>
            <w:tcW w:w="2280" w:type="dxa"/>
            <w:vAlign w:val="center"/>
          </w:tcPr>
          <w:p w14:paraId="364B809B" w14:textId="77777777" w:rsidR="002A4F32" w:rsidRPr="00E13198" w:rsidRDefault="002A4F32" w:rsidP="00B953E3">
            <w:pPr>
              <w:rPr>
                <w:sz w:val="24"/>
                <w:szCs w:val="24"/>
              </w:rPr>
            </w:pPr>
            <w:r w:rsidRPr="00E13198">
              <w:rPr>
                <w:sz w:val="24"/>
                <w:szCs w:val="24"/>
              </w:rPr>
              <w:t>3-hour maximum</w:t>
            </w:r>
          </w:p>
        </w:tc>
        <w:tc>
          <w:tcPr>
            <w:tcW w:w="1904" w:type="dxa"/>
            <w:vAlign w:val="center"/>
          </w:tcPr>
          <w:p w14:paraId="09919A25" w14:textId="77777777" w:rsidR="002A4F32" w:rsidRPr="00E13198" w:rsidRDefault="002A4F32" w:rsidP="00B953E3">
            <w:pPr>
              <w:jc w:val="center"/>
              <w:rPr>
                <w:sz w:val="24"/>
                <w:szCs w:val="24"/>
              </w:rPr>
            </w:pPr>
            <w:r w:rsidRPr="00E13198">
              <w:rPr>
                <w:sz w:val="24"/>
                <w:szCs w:val="24"/>
              </w:rPr>
              <w:t>512</w:t>
            </w:r>
          </w:p>
        </w:tc>
      </w:tr>
      <w:tr w:rsidR="002A4F32" w:rsidRPr="000E3440" w14:paraId="19B6ECB4" w14:textId="77777777" w:rsidTr="00B953E3">
        <w:trPr>
          <w:jc w:val="center"/>
        </w:trPr>
        <w:tc>
          <w:tcPr>
            <w:tcW w:w="1523" w:type="dxa"/>
            <w:vMerge w:val="restart"/>
            <w:tcBorders>
              <w:left w:val="single" w:sz="4" w:space="0" w:color="auto"/>
            </w:tcBorders>
            <w:vAlign w:val="center"/>
          </w:tcPr>
          <w:p w14:paraId="0FDD03F7" w14:textId="77777777" w:rsidR="002A4F32" w:rsidRPr="00E13198" w:rsidRDefault="002A4F32" w:rsidP="00B953E3">
            <w:pPr>
              <w:jc w:val="center"/>
              <w:rPr>
                <w:sz w:val="24"/>
                <w:szCs w:val="24"/>
              </w:rPr>
            </w:pPr>
            <w:r w:rsidRPr="00E13198">
              <w:rPr>
                <w:sz w:val="24"/>
                <w:szCs w:val="24"/>
              </w:rPr>
              <w:t>PM</w:t>
            </w:r>
            <w:r w:rsidRPr="00E13198">
              <w:rPr>
                <w:sz w:val="24"/>
                <w:szCs w:val="24"/>
                <w:vertAlign w:val="subscript"/>
              </w:rPr>
              <w:t>10</w:t>
            </w:r>
          </w:p>
        </w:tc>
        <w:tc>
          <w:tcPr>
            <w:tcW w:w="2280" w:type="dxa"/>
            <w:vAlign w:val="center"/>
          </w:tcPr>
          <w:p w14:paraId="2CEDE091" w14:textId="77777777" w:rsidR="002A4F32" w:rsidRPr="00E13198" w:rsidRDefault="002A4F32" w:rsidP="00B953E3">
            <w:pPr>
              <w:rPr>
                <w:sz w:val="24"/>
                <w:szCs w:val="24"/>
              </w:rPr>
            </w:pPr>
            <w:r w:rsidRPr="00E13198">
              <w:rPr>
                <w:sz w:val="24"/>
                <w:szCs w:val="24"/>
              </w:rPr>
              <w:t>Annual arithmetic mean</w:t>
            </w:r>
          </w:p>
        </w:tc>
        <w:tc>
          <w:tcPr>
            <w:tcW w:w="1904" w:type="dxa"/>
            <w:vAlign w:val="center"/>
          </w:tcPr>
          <w:p w14:paraId="3CCCD93E" w14:textId="77777777" w:rsidR="002A4F32" w:rsidRPr="00E13198" w:rsidRDefault="002A4F32" w:rsidP="00B953E3">
            <w:pPr>
              <w:jc w:val="center"/>
              <w:rPr>
                <w:sz w:val="24"/>
                <w:szCs w:val="24"/>
              </w:rPr>
            </w:pPr>
            <w:r w:rsidRPr="00E13198">
              <w:rPr>
                <w:sz w:val="24"/>
                <w:szCs w:val="24"/>
              </w:rPr>
              <w:t>17</w:t>
            </w:r>
          </w:p>
        </w:tc>
      </w:tr>
      <w:tr w:rsidR="002A4F32" w:rsidRPr="000E3440" w14:paraId="6EFC2143" w14:textId="77777777" w:rsidTr="00B953E3">
        <w:trPr>
          <w:jc w:val="center"/>
        </w:trPr>
        <w:tc>
          <w:tcPr>
            <w:tcW w:w="1523" w:type="dxa"/>
            <w:vMerge/>
            <w:tcBorders>
              <w:left w:val="single" w:sz="4" w:space="0" w:color="auto"/>
            </w:tcBorders>
            <w:vAlign w:val="center"/>
          </w:tcPr>
          <w:p w14:paraId="19A36C51" w14:textId="77777777" w:rsidR="002A4F32" w:rsidRPr="00E13198" w:rsidRDefault="002A4F32" w:rsidP="00B953E3">
            <w:pPr>
              <w:jc w:val="center"/>
              <w:rPr>
                <w:sz w:val="24"/>
                <w:szCs w:val="24"/>
              </w:rPr>
            </w:pPr>
          </w:p>
        </w:tc>
        <w:tc>
          <w:tcPr>
            <w:tcW w:w="2280" w:type="dxa"/>
            <w:vAlign w:val="center"/>
          </w:tcPr>
          <w:p w14:paraId="2D7F185F" w14:textId="77777777" w:rsidR="002A4F32" w:rsidRPr="00E13198" w:rsidRDefault="002A4F32" w:rsidP="00B953E3">
            <w:pPr>
              <w:rPr>
                <w:sz w:val="24"/>
                <w:szCs w:val="24"/>
              </w:rPr>
            </w:pPr>
            <w:r w:rsidRPr="00E13198">
              <w:rPr>
                <w:sz w:val="24"/>
                <w:szCs w:val="24"/>
              </w:rPr>
              <w:t>24-hour maximum</w:t>
            </w:r>
          </w:p>
        </w:tc>
        <w:tc>
          <w:tcPr>
            <w:tcW w:w="1904" w:type="dxa"/>
            <w:vAlign w:val="center"/>
          </w:tcPr>
          <w:p w14:paraId="7FD6D025" w14:textId="77777777" w:rsidR="002A4F32" w:rsidRPr="00E13198" w:rsidRDefault="002A4F32" w:rsidP="00B953E3">
            <w:pPr>
              <w:jc w:val="center"/>
              <w:rPr>
                <w:sz w:val="24"/>
                <w:szCs w:val="24"/>
              </w:rPr>
            </w:pPr>
            <w:r w:rsidRPr="00E13198">
              <w:rPr>
                <w:sz w:val="24"/>
                <w:szCs w:val="24"/>
              </w:rPr>
              <w:t>30</w:t>
            </w:r>
          </w:p>
        </w:tc>
      </w:tr>
      <w:tr w:rsidR="002A4F32" w:rsidRPr="000E3440" w14:paraId="50646660" w14:textId="77777777" w:rsidTr="00B953E3">
        <w:trPr>
          <w:jc w:val="center"/>
        </w:trPr>
        <w:tc>
          <w:tcPr>
            <w:tcW w:w="1523" w:type="dxa"/>
            <w:vMerge w:val="restart"/>
            <w:tcBorders>
              <w:left w:val="single" w:sz="4" w:space="0" w:color="auto"/>
            </w:tcBorders>
            <w:vAlign w:val="center"/>
          </w:tcPr>
          <w:p w14:paraId="5994F110" w14:textId="77777777" w:rsidR="002A4F32" w:rsidRPr="00E13198" w:rsidRDefault="002A4F32" w:rsidP="00B953E3">
            <w:pPr>
              <w:jc w:val="center"/>
              <w:rPr>
                <w:sz w:val="24"/>
                <w:szCs w:val="24"/>
              </w:rPr>
            </w:pPr>
            <w:r w:rsidRPr="00E13198">
              <w:rPr>
                <w:sz w:val="24"/>
                <w:szCs w:val="24"/>
              </w:rPr>
              <w:t>PM</w:t>
            </w:r>
            <w:r w:rsidRPr="00E13198">
              <w:rPr>
                <w:sz w:val="24"/>
                <w:szCs w:val="24"/>
                <w:vertAlign w:val="subscript"/>
              </w:rPr>
              <w:t>2.5</w:t>
            </w:r>
          </w:p>
        </w:tc>
        <w:tc>
          <w:tcPr>
            <w:tcW w:w="2280" w:type="dxa"/>
            <w:vAlign w:val="center"/>
          </w:tcPr>
          <w:p w14:paraId="41F0D80A" w14:textId="77777777" w:rsidR="002A4F32" w:rsidRPr="00E13198" w:rsidRDefault="002A4F32" w:rsidP="00B953E3">
            <w:pPr>
              <w:rPr>
                <w:sz w:val="24"/>
                <w:szCs w:val="24"/>
              </w:rPr>
            </w:pPr>
            <w:r w:rsidRPr="00E13198">
              <w:rPr>
                <w:sz w:val="24"/>
                <w:szCs w:val="24"/>
              </w:rPr>
              <w:t>Annual arithmetic mean</w:t>
            </w:r>
          </w:p>
        </w:tc>
        <w:tc>
          <w:tcPr>
            <w:tcW w:w="1904" w:type="dxa"/>
            <w:vAlign w:val="center"/>
          </w:tcPr>
          <w:p w14:paraId="4F9CE0AF" w14:textId="77777777" w:rsidR="002A4F32" w:rsidRPr="00E13198" w:rsidRDefault="002A4F32" w:rsidP="00B953E3">
            <w:pPr>
              <w:jc w:val="center"/>
              <w:rPr>
                <w:sz w:val="24"/>
                <w:szCs w:val="24"/>
              </w:rPr>
            </w:pPr>
            <w:r w:rsidRPr="00E13198">
              <w:rPr>
                <w:sz w:val="24"/>
                <w:szCs w:val="24"/>
              </w:rPr>
              <w:t>4</w:t>
            </w:r>
          </w:p>
        </w:tc>
      </w:tr>
      <w:tr w:rsidR="002A4F32" w:rsidRPr="000E3440" w14:paraId="3DB3CC08" w14:textId="77777777" w:rsidTr="00B953E3">
        <w:trPr>
          <w:jc w:val="center"/>
        </w:trPr>
        <w:tc>
          <w:tcPr>
            <w:tcW w:w="1523" w:type="dxa"/>
            <w:vMerge/>
            <w:tcBorders>
              <w:left w:val="single" w:sz="4" w:space="0" w:color="auto"/>
            </w:tcBorders>
            <w:vAlign w:val="center"/>
          </w:tcPr>
          <w:p w14:paraId="36B851AF" w14:textId="77777777" w:rsidR="002A4F32" w:rsidRPr="00E13198" w:rsidRDefault="002A4F32" w:rsidP="00B953E3">
            <w:pPr>
              <w:jc w:val="center"/>
              <w:rPr>
                <w:sz w:val="24"/>
                <w:szCs w:val="24"/>
              </w:rPr>
            </w:pPr>
          </w:p>
        </w:tc>
        <w:tc>
          <w:tcPr>
            <w:tcW w:w="2280" w:type="dxa"/>
            <w:vAlign w:val="center"/>
          </w:tcPr>
          <w:p w14:paraId="58227420" w14:textId="77777777" w:rsidR="002A4F32" w:rsidRPr="00E13198" w:rsidRDefault="002A4F32" w:rsidP="00B953E3">
            <w:pPr>
              <w:rPr>
                <w:sz w:val="24"/>
                <w:szCs w:val="24"/>
              </w:rPr>
            </w:pPr>
            <w:r w:rsidRPr="00E13198">
              <w:rPr>
                <w:sz w:val="24"/>
                <w:szCs w:val="24"/>
              </w:rPr>
              <w:t>24-hour maximum</w:t>
            </w:r>
          </w:p>
        </w:tc>
        <w:tc>
          <w:tcPr>
            <w:tcW w:w="1904" w:type="dxa"/>
            <w:vAlign w:val="center"/>
          </w:tcPr>
          <w:p w14:paraId="3CCDC964" w14:textId="77777777" w:rsidR="002A4F32" w:rsidRPr="00E13198" w:rsidRDefault="002A4F32" w:rsidP="00B953E3">
            <w:pPr>
              <w:jc w:val="center"/>
              <w:rPr>
                <w:sz w:val="24"/>
                <w:szCs w:val="24"/>
              </w:rPr>
            </w:pPr>
            <w:r w:rsidRPr="00E13198">
              <w:rPr>
                <w:sz w:val="24"/>
                <w:szCs w:val="24"/>
              </w:rPr>
              <w:t>9</w:t>
            </w:r>
          </w:p>
        </w:tc>
      </w:tr>
    </w:tbl>
    <w:p w14:paraId="35A72C6B" w14:textId="77777777" w:rsidR="002A4F32" w:rsidRPr="00E13198" w:rsidRDefault="00B13F93" w:rsidP="002A4F32">
      <w:pPr>
        <w:rPr>
          <w:sz w:val="24"/>
          <w:szCs w:val="24"/>
        </w:rPr>
      </w:pPr>
      <w:r>
        <w:rPr>
          <w:sz w:val="24"/>
          <w:szCs w:val="24"/>
        </w:rPr>
        <w:t xml:space="preserve">                                   </w:t>
      </w:r>
      <w:r w:rsidRPr="007C6C72">
        <w:rPr>
          <w:sz w:val="24"/>
          <w:szCs w:val="24"/>
        </w:rPr>
        <w:t>Ref</w:t>
      </w:r>
      <w:r>
        <w:rPr>
          <w:sz w:val="24"/>
          <w:szCs w:val="24"/>
        </w:rPr>
        <w:t>erence:</w:t>
      </w:r>
      <w:r w:rsidRPr="007C6C72">
        <w:rPr>
          <w:sz w:val="24"/>
          <w:szCs w:val="24"/>
        </w:rPr>
        <w:t xml:space="preserve"> </w:t>
      </w:r>
      <w:r w:rsidRPr="000E3440">
        <w:rPr>
          <w:sz w:val="24"/>
          <w:szCs w:val="24"/>
        </w:rPr>
        <w:t xml:space="preserve">Title 129 Ch. 19, </w:t>
      </w:r>
      <w:r w:rsidRPr="000E3440">
        <w:rPr>
          <w:sz w:val="24"/>
          <w:szCs w:val="24"/>
          <w:u w:val="single"/>
        </w:rPr>
        <w:t>012</w:t>
      </w:r>
      <w:r w:rsidRPr="007C6C72">
        <w:rPr>
          <w:sz w:val="24"/>
          <w:szCs w:val="24"/>
        </w:rPr>
        <w:t xml:space="preserve"> </w:t>
      </w:r>
      <w:r>
        <w:rPr>
          <w:sz w:val="24"/>
          <w:szCs w:val="24"/>
        </w:rPr>
        <w:t xml:space="preserve">and </w:t>
      </w:r>
      <w:r w:rsidRPr="000E3440">
        <w:rPr>
          <w:sz w:val="24"/>
          <w:szCs w:val="24"/>
        </w:rPr>
        <w:t>40 CFR 51.166</w:t>
      </w:r>
    </w:p>
    <w:p w14:paraId="695FD2B8" w14:textId="77777777" w:rsidR="002A4F32" w:rsidRDefault="002A4F32" w:rsidP="002A4F32">
      <w:pPr>
        <w:rPr>
          <w:sz w:val="24"/>
          <w:szCs w:val="24"/>
        </w:rPr>
      </w:pPr>
      <w:r>
        <w:rPr>
          <w:sz w:val="24"/>
          <w:szCs w:val="24"/>
        </w:rPr>
        <w:br w:type="page"/>
      </w:r>
    </w:p>
    <w:tbl>
      <w:tblPr>
        <w:tblStyle w:val="TableGrid"/>
        <w:tblW w:w="8640" w:type="dxa"/>
        <w:jc w:val="center"/>
        <w:tblLook w:val="04A0" w:firstRow="1" w:lastRow="0" w:firstColumn="1" w:lastColumn="0" w:noHBand="0" w:noVBand="1"/>
      </w:tblPr>
      <w:tblGrid>
        <w:gridCol w:w="1296"/>
        <w:gridCol w:w="1314"/>
        <w:gridCol w:w="1170"/>
        <w:gridCol w:w="2430"/>
        <w:gridCol w:w="2430"/>
      </w:tblGrid>
      <w:tr w:rsidR="002A4F32" w:rsidRPr="00B70A0A" w14:paraId="254E9945" w14:textId="77777777" w:rsidTr="002A4F32">
        <w:trPr>
          <w:cantSplit/>
          <w:tblHeader/>
          <w:jc w:val="center"/>
        </w:trPr>
        <w:tc>
          <w:tcPr>
            <w:tcW w:w="8640" w:type="dxa"/>
            <w:gridSpan w:val="5"/>
            <w:tcBorders>
              <w:top w:val="nil"/>
              <w:left w:val="nil"/>
              <w:bottom w:val="single" w:sz="12" w:space="0" w:color="auto"/>
              <w:right w:val="nil"/>
            </w:tcBorders>
          </w:tcPr>
          <w:p w14:paraId="1C23D27C" w14:textId="77777777" w:rsidR="002A4F32" w:rsidRPr="00D6528B" w:rsidRDefault="002A4F32" w:rsidP="00B953E3">
            <w:pPr>
              <w:jc w:val="center"/>
              <w:rPr>
                <w:b/>
                <w:sz w:val="24"/>
                <w:szCs w:val="24"/>
              </w:rPr>
            </w:pPr>
            <w:r>
              <w:rPr>
                <w:sz w:val="24"/>
                <w:szCs w:val="24"/>
              </w:rPr>
              <w:lastRenderedPageBreak/>
              <w:br w:type="page"/>
            </w:r>
            <w:r w:rsidRPr="00D6528B">
              <w:rPr>
                <w:b/>
                <w:sz w:val="24"/>
                <w:szCs w:val="24"/>
              </w:rPr>
              <w:t>Significant Impact Levels (SIL)</w:t>
            </w:r>
          </w:p>
        </w:tc>
      </w:tr>
      <w:tr w:rsidR="002A4F32" w:rsidRPr="00B70A0A" w14:paraId="5475C53B" w14:textId="77777777" w:rsidTr="00B953E3">
        <w:trPr>
          <w:cantSplit/>
          <w:tblHeader/>
          <w:jc w:val="center"/>
        </w:trPr>
        <w:tc>
          <w:tcPr>
            <w:tcW w:w="1296" w:type="dxa"/>
            <w:tcBorders>
              <w:top w:val="nil"/>
              <w:left w:val="single" w:sz="4" w:space="0" w:color="auto"/>
              <w:bottom w:val="single" w:sz="12" w:space="0" w:color="auto"/>
            </w:tcBorders>
            <w:vAlign w:val="center"/>
          </w:tcPr>
          <w:p w14:paraId="535AA4B6" w14:textId="77777777" w:rsidR="002A4F32" w:rsidRPr="00D6528B" w:rsidRDefault="002A4F32" w:rsidP="00B953E3">
            <w:pPr>
              <w:jc w:val="center"/>
              <w:rPr>
                <w:b/>
                <w:sz w:val="24"/>
                <w:szCs w:val="24"/>
              </w:rPr>
            </w:pPr>
            <w:r w:rsidRPr="00D6528B">
              <w:rPr>
                <w:b/>
                <w:sz w:val="24"/>
                <w:szCs w:val="24"/>
              </w:rPr>
              <w:t>Pollutant</w:t>
            </w:r>
          </w:p>
        </w:tc>
        <w:tc>
          <w:tcPr>
            <w:tcW w:w="1314" w:type="dxa"/>
            <w:tcBorders>
              <w:top w:val="nil"/>
              <w:bottom w:val="single" w:sz="12" w:space="0" w:color="auto"/>
            </w:tcBorders>
            <w:vAlign w:val="center"/>
          </w:tcPr>
          <w:p w14:paraId="576DC03E" w14:textId="77777777" w:rsidR="002A4F32" w:rsidRPr="00D6528B" w:rsidRDefault="002A4F32" w:rsidP="00B953E3">
            <w:pPr>
              <w:jc w:val="center"/>
              <w:rPr>
                <w:b/>
                <w:sz w:val="24"/>
                <w:szCs w:val="24"/>
              </w:rPr>
            </w:pPr>
            <w:r w:rsidRPr="00D6528B">
              <w:rPr>
                <w:b/>
                <w:sz w:val="24"/>
                <w:szCs w:val="24"/>
              </w:rPr>
              <w:t>Averaging Period</w:t>
            </w:r>
          </w:p>
        </w:tc>
        <w:tc>
          <w:tcPr>
            <w:tcW w:w="1170" w:type="dxa"/>
            <w:tcBorders>
              <w:top w:val="nil"/>
              <w:bottom w:val="single" w:sz="12" w:space="0" w:color="auto"/>
              <w:right w:val="nil"/>
            </w:tcBorders>
            <w:vAlign w:val="center"/>
          </w:tcPr>
          <w:p w14:paraId="2874FA78" w14:textId="77777777" w:rsidR="002A4F32" w:rsidRPr="00D6528B" w:rsidRDefault="002A4F32" w:rsidP="00B953E3">
            <w:pPr>
              <w:jc w:val="center"/>
              <w:rPr>
                <w:b/>
                <w:sz w:val="24"/>
                <w:szCs w:val="24"/>
              </w:rPr>
            </w:pPr>
            <w:r w:rsidRPr="00D6528B">
              <w:rPr>
                <w:b/>
                <w:sz w:val="24"/>
                <w:szCs w:val="24"/>
              </w:rPr>
              <w:t>SIL (µg/m</w:t>
            </w:r>
            <w:r w:rsidRPr="00D6528B">
              <w:rPr>
                <w:b/>
                <w:sz w:val="24"/>
                <w:szCs w:val="24"/>
                <w:vertAlign w:val="superscript"/>
              </w:rPr>
              <w:t>3</w:t>
            </w:r>
            <w:r w:rsidRPr="00D6528B">
              <w:rPr>
                <w:b/>
                <w:sz w:val="24"/>
                <w:szCs w:val="24"/>
              </w:rPr>
              <w:t>)</w:t>
            </w:r>
          </w:p>
        </w:tc>
        <w:tc>
          <w:tcPr>
            <w:tcW w:w="2430" w:type="dxa"/>
            <w:tcBorders>
              <w:top w:val="nil"/>
              <w:bottom w:val="single" w:sz="12" w:space="0" w:color="auto"/>
              <w:right w:val="nil"/>
            </w:tcBorders>
            <w:vAlign w:val="center"/>
          </w:tcPr>
          <w:p w14:paraId="2AB98F4F" w14:textId="77777777" w:rsidR="002A4F32" w:rsidRPr="00D6528B" w:rsidRDefault="002A4F32" w:rsidP="00B953E3">
            <w:pPr>
              <w:jc w:val="center"/>
              <w:rPr>
                <w:b/>
                <w:sz w:val="24"/>
                <w:szCs w:val="24"/>
              </w:rPr>
            </w:pPr>
            <w:r w:rsidRPr="00D6528B">
              <w:rPr>
                <w:b/>
                <w:sz w:val="24"/>
                <w:szCs w:val="24"/>
              </w:rPr>
              <w:t>Form</w:t>
            </w:r>
          </w:p>
        </w:tc>
        <w:tc>
          <w:tcPr>
            <w:tcW w:w="2430" w:type="dxa"/>
            <w:tcBorders>
              <w:top w:val="nil"/>
              <w:bottom w:val="single" w:sz="12" w:space="0" w:color="auto"/>
              <w:right w:val="single" w:sz="4" w:space="0" w:color="auto"/>
            </w:tcBorders>
            <w:vAlign w:val="center"/>
          </w:tcPr>
          <w:p w14:paraId="2BBB88A4" w14:textId="77777777" w:rsidR="002A4F32" w:rsidRPr="00D6528B" w:rsidRDefault="002A4F32" w:rsidP="00B953E3">
            <w:pPr>
              <w:jc w:val="center"/>
              <w:rPr>
                <w:b/>
                <w:sz w:val="24"/>
                <w:szCs w:val="24"/>
              </w:rPr>
            </w:pPr>
            <w:r w:rsidRPr="00D6528B">
              <w:rPr>
                <w:b/>
                <w:sz w:val="24"/>
                <w:szCs w:val="24"/>
              </w:rPr>
              <w:t>Reference</w:t>
            </w:r>
          </w:p>
        </w:tc>
      </w:tr>
      <w:tr w:rsidR="002A4F32" w:rsidRPr="00B70A0A" w14:paraId="73D0AE54" w14:textId="77777777" w:rsidTr="00B953E3">
        <w:trPr>
          <w:cantSplit/>
          <w:jc w:val="center"/>
        </w:trPr>
        <w:tc>
          <w:tcPr>
            <w:tcW w:w="1296" w:type="dxa"/>
            <w:vMerge w:val="restart"/>
            <w:tcBorders>
              <w:top w:val="single" w:sz="12" w:space="0" w:color="auto"/>
              <w:left w:val="single" w:sz="4" w:space="0" w:color="auto"/>
            </w:tcBorders>
            <w:vAlign w:val="center"/>
          </w:tcPr>
          <w:p w14:paraId="451C577A" w14:textId="77777777" w:rsidR="002A4F32" w:rsidRPr="00D6528B" w:rsidRDefault="002A4F32" w:rsidP="00B953E3">
            <w:pPr>
              <w:jc w:val="center"/>
              <w:rPr>
                <w:sz w:val="24"/>
                <w:szCs w:val="24"/>
              </w:rPr>
            </w:pPr>
            <w:r w:rsidRPr="00D6528B">
              <w:rPr>
                <w:sz w:val="24"/>
                <w:szCs w:val="24"/>
              </w:rPr>
              <w:t>CO</w:t>
            </w:r>
          </w:p>
        </w:tc>
        <w:tc>
          <w:tcPr>
            <w:tcW w:w="1314" w:type="dxa"/>
            <w:tcBorders>
              <w:top w:val="single" w:sz="12" w:space="0" w:color="auto"/>
            </w:tcBorders>
            <w:vAlign w:val="center"/>
          </w:tcPr>
          <w:p w14:paraId="6B54C480" w14:textId="77777777" w:rsidR="002A4F32" w:rsidRPr="00D6528B" w:rsidRDefault="002A4F32" w:rsidP="00B953E3">
            <w:pPr>
              <w:rPr>
                <w:sz w:val="24"/>
                <w:szCs w:val="24"/>
              </w:rPr>
            </w:pPr>
            <w:r w:rsidRPr="00D6528B">
              <w:rPr>
                <w:sz w:val="24"/>
                <w:szCs w:val="24"/>
              </w:rPr>
              <w:t>1-hour</w:t>
            </w:r>
          </w:p>
        </w:tc>
        <w:tc>
          <w:tcPr>
            <w:tcW w:w="1170" w:type="dxa"/>
            <w:tcBorders>
              <w:top w:val="single" w:sz="12" w:space="0" w:color="auto"/>
              <w:right w:val="nil"/>
            </w:tcBorders>
            <w:vAlign w:val="center"/>
          </w:tcPr>
          <w:p w14:paraId="2E0352E5" w14:textId="77777777" w:rsidR="002A4F32" w:rsidRPr="00D6528B" w:rsidRDefault="002A4F32" w:rsidP="00B953E3">
            <w:pPr>
              <w:jc w:val="center"/>
              <w:rPr>
                <w:sz w:val="24"/>
                <w:szCs w:val="24"/>
              </w:rPr>
            </w:pPr>
            <w:r w:rsidRPr="00D6528B">
              <w:rPr>
                <w:sz w:val="24"/>
                <w:szCs w:val="24"/>
              </w:rPr>
              <w:t>2,000</w:t>
            </w:r>
          </w:p>
        </w:tc>
        <w:tc>
          <w:tcPr>
            <w:tcW w:w="2430" w:type="dxa"/>
            <w:tcBorders>
              <w:top w:val="single" w:sz="12" w:space="0" w:color="auto"/>
              <w:right w:val="nil"/>
            </w:tcBorders>
            <w:vAlign w:val="center"/>
          </w:tcPr>
          <w:p w14:paraId="508FE059" w14:textId="77777777" w:rsidR="002A4F32" w:rsidRPr="00D6528B" w:rsidRDefault="002A4F32" w:rsidP="00B953E3">
            <w:pPr>
              <w:rPr>
                <w:sz w:val="24"/>
                <w:szCs w:val="24"/>
              </w:rPr>
            </w:pPr>
            <w:r w:rsidRPr="00D6528B">
              <w:rPr>
                <w:sz w:val="24"/>
                <w:szCs w:val="24"/>
              </w:rPr>
              <w:t xml:space="preserve">Highest modeled impact </w:t>
            </w:r>
          </w:p>
        </w:tc>
        <w:tc>
          <w:tcPr>
            <w:tcW w:w="2430" w:type="dxa"/>
            <w:tcBorders>
              <w:top w:val="single" w:sz="12" w:space="0" w:color="auto"/>
              <w:right w:val="single" w:sz="4" w:space="0" w:color="auto"/>
            </w:tcBorders>
          </w:tcPr>
          <w:p w14:paraId="3A9EA946" w14:textId="77777777" w:rsidR="002A4F32" w:rsidRPr="00D6528B" w:rsidRDefault="002A4F32" w:rsidP="00B953E3">
            <w:pPr>
              <w:rPr>
                <w:sz w:val="24"/>
                <w:szCs w:val="24"/>
              </w:rPr>
            </w:pPr>
            <w:r w:rsidRPr="00D6528B">
              <w:rPr>
                <w:sz w:val="24"/>
                <w:szCs w:val="24"/>
              </w:rPr>
              <w:t>Title 129, Ch. 17</w:t>
            </w:r>
            <w:r>
              <w:rPr>
                <w:sz w:val="24"/>
                <w:szCs w:val="24"/>
              </w:rPr>
              <w:t>,</w:t>
            </w:r>
            <w:r w:rsidRPr="00D6528B">
              <w:rPr>
                <w:sz w:val="24"/>
                <w:szCs w:val="24"/>
              </w:rPr>
              <w:t xml:space="preserve"> </w:t>
            </w:r>
            <w:r w:rsidRPr="00D6528B">
              <w:rPr>
                <w:sz w:val="24"/>
                <w:szCs w:val="24"/>
                <w:u w:val="single"/>
              </w:rPr>
              <w:t>009</w:t>
            </w:r>
          </w:p>
        </w:tc>
      </w:tr>
      <w:tr w:rsidR="002A4F32" w:rsidRPr="00B70A0A" w14:paraId="72F2DE41" w14:textId="77777777" w:rsidTr="00B953E3">
        <w:trPr>
          <w:cantSplit/>
          <w:jc w:val="center"/>
        </w:trPr>
        <w:tc>
          <w:tcPr>
            <w:tcW w:w="1296" w:type="dxa"/>
            <w:vMerge/>
            <w:tcBorders>
              <w:left w:val="single" w:sz="4" w:space="0" w:color="auto"/>
            </w:tcBorders>
            <w:vAlign w:val="center"/>
          </w:tcPr>
          <w:p w14:paraId="27BCCCCB" w14:textId="77777777" w:rsidR="002A4F32" w:rsidRPr="00D6528B" w:rsidRDefault="002A4F32" w:rsidP="00B953E3">
            <w:pPr>
              <w:jc w:val="center"/>
              <w:rPr>
                <w:sz w:val="24"/>
                <w:szCs w:val="24"/>
              </w:rPr>
            </w:pPr>
          </w:p>
        </w:tc>
        <w:tc>
          <w:tcPr>
            <w:tcW w:w="1314" w:type="dxa"/>
            <w:vAlign w:val="center"/>
          </w:tcPr>
          <w:p w14:paraId="11096064" w14:textId="77777777" w:rsidR="002A4F32" w:rsidRPr="00D6528B" w:rsidRDefault="002A4F32" w:rsidP="00B953E3">
            <w:pPr>
              <w:rPr>
                <w:sz w:val="24"/>
                <w:szCs w:val="24"/>
              </w:rPr>
            </w:pPr>
            <w:r w:rsidRPr="00D6528B">
              <w:rPr>
                <w:sz w:val="24"/>
                <w:szCs w:val="24"/>
              </w:rPr>
              <w:t>8-hour</w:t>
            </w:r>
          </w:p>
        </w:tc>
        <w:tc>
          <w:tcPr>
            <w:tcW w:w="1170" w:type="dxa"/>
            <w:tcBorders>
              <w:bottom w:val="single" w:sz="4" w:space="0" w:color="auto"/>
              <w:right w:val="nil"/>
            </w:tcBorders>
            <w:vAlign w:val="center"/>
          </w:tcPr>
          <w:p w14:paraId="2FC38B3C" w14:textId="77777777" w:rsidR="002A4F32" w:rsidRPr="00D6528B" w:rsidRDefault="002A4F32" w:rsidP="00B953E3">
            <w:pPr>
              <w:jc w:val="center"/>
              <w:rPr>
                <w:sz w:val="24"/>
                <w:szCs w:val="24"/>
              </w:rPr>
            </w:pPr>
            <w:r w:rsidRPr="00D6528B">
              <w:rPr>
                <w:sz w:val="24"/>
                <w:szCs w:val="24"/>
              </w:rPr>
              <w:t>500</w:t>
            </w:r>
          </w:p>
        </w:tc>
        <w:tc>
          <w:tcPr>
            <w:tcW w:w="2430" w:type="dxa"/>
            <w:tcBorders>
              <w:bottom w:val="single" w:sz="4" w:space="0" w:color="auto"/>
              <w:right w:val="nil"/>
            </w:tcBorders>
            <w:vAlign w:val="center"/>
          </w:tcPr>
          <w:p w14:paraId="7BC14B65" w14:textId="77777777" w:rsidR="002A4F32" w:rsidRPr="00D6528B" w:rsidRDefault="002A4F32" w:rsidP="00B953E3">
            <w:pPr>
              <w:rPr>
                <w:sz w:val="24"/>
                <w:szCs w:val="24"/>
              </w:rPr>
            </w:pPr>
            <w:r w:rsidRPr="00D6528B">
              <w:rPr>
                <w:sz w:val="24"/>
                <w:szCs w:val="24"/>
              </w:rPr>
              <w:t>Highest modeled impact</w:t>
            </w:r>
          </w:p>
        </w:tc>
        <w:tc>
          <w:tcPr>
            <w:tcW w:w="2430" w:type="dxa"/>
            <w:tcBorders>
              <w:bottom w:val="single" w:sz="4" w:space="0" w:color="auto"/>
              <w:right w:val="single" w:sz="4" w:space="0" w:color="auto"/>
            </w:tcBorders>
          </w:tcPr>
          <w:p w14:paraId="41765049" w14:textId="77777777" w:rsidR="002A4F32" w:rsidRPr="00D6528B" w:rsidRDefault="002A4F32" w:rsidP="00B953E3">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2A4F32" w:rsidRPr="00B70A0A" w14:paraId="62C6A5EE" w14:textId="77777777" w:rsidTr="00B953E3">
        <w:trPr>
          <w:cantSplit/>
          <w:jc w:val="center"/>
        </w:trPr>
        <w:tc>
          <w:tcPr>
            <w:tcW w:w="1296" w:type="dxa"/>
            <w:vMerge w:val="restart"/>
            <w:tcBorders>
              <w:left w:val="single" w:sz="4" w:space="0" w:color="auto"/>
            </w:tcBorders>
            <w:vAlign w:val="center"/>
          </w:tcPr>
          <w:p w14:paraId="6A45465E" w14:textId="77777777" w:rsidR="002A4F32" w:rsidRPr="00D6528B" w:rsidRDefault="002A4F32" w:rsidP="00B953E3">
            <w:pPr>
              <w:jc w:val="center"/>
              <w:rPr>
                <w:sz w:val="24"/>
                <w:szCs w:val="24"/>
              </w:rPr>
            </w:pPr>
            <w:r w:rsidRPr="00D6528B">
              <w:rPr>
                <w:sz w:val="24"/>
                <w:szCs w:val="24"/>
              </w:rPr>
              <w:t>NO</w:t>
            </w:r>
            <w:r w:rsidRPr="00D6528B">
              <w:rPr>
                <w:sz w:val="24"/>
                <w:szCs w:val="24"/>
                <w:vertAlign w:val="subscript"/>
              </w:rPr>
              <w:t>2</w:t>
            </w:r>
          </w:p>
        </w:tc>
        <w:tc>
          <w:tcPr>
            <w:tcW w:w="1314" w:type="dxa"/>
            <w:vAlign w:val="center"/>
          </w:tcPr>
          <w:p w14:paraId="7EA96D92" w14:textId="77777777" w:rsidR="002A4F32" w:rsidRPr="00D6528B" w:rsidRDefault="002A4F32" w:rsidP="00B953E3">
            <w:pPr>
              <w:rPr>
                <w:sz w:val="24"/>
                <w:szCs w:val="24"/>
              </w:rPr>
            </w:pPr>
            <w:r w:rsidRPr="00D6528B">
              <w:rPr>
                <w:sz w:val="24"/>
                <w:szCs w:val="24"/>
              </w:rPr>
              <w:t>1-hour</w:t>
            </w:r>
          </w:p>
        </w:tc>
        <w:tc>
          <w:tcPr>
            <w:tcW w:w="1170" w:type="dxa"/>
            <w:tcBorders>
              <w:right w:val="nil"/>
            </w:tcBorders>
            <w:vAlign w:val="center"/>
          </w:tcPr>
          <w:p w14:paraId="44DD69AF" w14:textId="77777777" w:rsidR="002A4F32" w:rsidRPr="00D6528B" w:rsidRDefault="002A4F32" w:rsidP="00B953E3">
            <w:pPr>
              <w:jc w:val="center"/>
              <w:rPr>
                <w:sz w:val="24"/>
                <w:szCs w:val="24"/>
              </w:rPr>
            </w:pPr>
            <w:r w:rsidRPr="00D6528B">
              <w:rPr>
                <w:sz w:val="24"/>
                <w:szCs w:val="24"/>
              </w:rPr>
              <w:t>7.5</w:t>
            </w:r>
          </w:p>
        </w:tc>
        <w:tc>
          <w:tcPr>
            <w:tcW w:w="2430" w:type="dxa"/>
            <w:tcBorders>
              <w:right w:val="nil"/>
            </w:tcBorders>
            <w:vAlign w:val="center"/>
          </w:tcPr>
          <w:p w14:paraId="7D2C2AEC" w14:textId="77777777" w:rsidR="002A4F32" w:rsidRPr="00D6528B" w:rsidRDefault="002A4F32" w:rsidP="00B953E3">
            <w:pPr>
              <w:autoSpaceDE w:val="0"/>
              <w:autoSpaceDN w:val="0"/>
              <w:adjustRightInd w:val="0"/>
              <w:rPr>
                <w:sz w:val="24"/>
                <w:szCs w:val="24"/>
                <w:highlight w:val="yellow"/>
              </w:rPr>
            </w:pPr>
            <w:r w:rsidRPr="00D6528B">
              <w:rPr>
                <w:sz w:val="24"/>
                <w:szCs w:val="24"/>
              </w:rPr>
              <w:t>Highest first high (H1H) concentration predicted each year at each receptor, averaged across five years</w:t>
            </w:r>
          </w:p>
        </w:tc>
        <w:tc>
          <w:tcPr>
            <w:tcW w:w="2430" w:type="dxa"/>
            <w:tcBorders>
              <w:right w:val="single" w:sz="4" w:space="0" w:color="auto"/>
            </w:tcBorders>
          </w:tcPr>
          <w:p w14:paraId="2277A376" w14:textId="77777777" w:rsidR="002A4F32" w:rsidRPr="00D6528B" w:rsidRDefault="002A4F32" w:rsidP="00B953E3">
            <w:pPr>
              <w:autoSpaceDE w:val="0"/>
              <w:autoSpaceDN w:val="0"/>
              <w:adjustRightInd w:val="0"/>
              <w:rPr>
                <w:sz w:val="24"/>
                <w:szCs w:val="24"/>
              </w:rPr>
            </w:pPr>
            <w:r w:rsidRPr="00D6528B">
              <w:rPr>
                <w:sz w:val="24"/>
                <w:szCs w:val="24"/>
              </w:rPr>
              <w:t xml:space="preserve">U.S. EPA MCHM, Mar 01, 2011 </w:t>
            </w:r>
          </w:p>
        </w:tc>
      </w:tr>
      <w:tr w:rsidR="002A4F32" w:rsidRPr="00B70A0A" w14:paraId="44E4644A" w14:textId="77777777" w:rsidTr="00B953E3">
        <w:trPr>
          <w:cantSplit/>
          <w:jc w:val="center"/>
        </w:trPr>
        <w:tc>
          <w:tcPr>
            <w:tcW w:w="1296" w:type="dxa"/>
            <w:vMerge/>
            <w:tcBorders>
              <w:left w:val="single" w:sz="4" w:space="0" w:color="auto"/>
            </w:tcBorders>
            <w:vAlign w:val="center"/>
          </w:tcPr>
          <w:p w14:paraId="79D880E9" w14:textId="77777777" w:rsidR="002A4F32" w:rsidRPr="00D6528B" w:rsidRDefault="002A4F32" w:rsidP="00B953E3">
            <w:pPr>
              <w:jc w:val="center"/>
              <w:rPr>
                <w:sz w:val="24"/>
                <w:szCs w:val="24"/>
              </w:rPr>
            </w:pPr>
          </w:p>
        </w:tc>
        <w:tc>
          <w:tcPr>
            <w:tcW w:w="1314" w:type="dxa"/>
            <w:vAlign w:val="center"/>
          </w:tcPr>
          <w:p w14:paraId="01D6689A" w14:textId="77777777" w:rsidR="002A4F32" w:rsidRPr="00D6528B" w:rsidRDefault="002A4F32" w:rsidP="00B953E3">
            <w:pPr>
              <w:rPr>
                <w:sz w:val="24"/>
                <w:szCs w:val="24"/>
              </w:rPr>
            </w:pPr>
            <w:r w:rsidRPr="00D6528B">
              <w:rPr>
                <w:sz w:val="24"/>
                <w:szCs w:val="24"/>
              </w:rPr>
              <w:t>Annual</w:t>
            </w:r>
          </w:p>
        </w:tc>
        <w:tc>
          <w:tcPr>
            <w:tcW w:w="1170" w:type="dxa"/>
            <w:tcBorders>
              <w:right w:val="nil"/>
            </w:tcBorders>
            <w:vAlign w:val="center"/>
          </w:tcPr>
          <w:p w14:paraId="19779C76" w14:textId="77777777" w:rsidR="002A4F32" w:rsidRPr="00D6528B" w:rsidRDefault="002A4F32" w:rsidP="00B953E3">
            <w:pPr>
              <w:jc w:val="center"/>
              <w:rPr>
                <w:sz w:val="24"/>
                <w:szCs w:val="24"/>
              </w:rPr>
            </w:pPr>
            <w:r w:rsidRPr="00D6528B">
              <w:rPr>
                <w:sz w:val="24"/>
                <w:szCs w:val="24"/>
              </w:rPr>
              <w:t>1.0</w:t>
            </w:r>
          </w:p>
        </w:tc>
        <w:tc>
          <w:tcPr>
            <w:tcW w:w="2430" w:type="dxa"/>
            <w:tcBorders>
              <w:right w:val="nil"/>
            </w:tcBorders>
            <w:vAlign w:val="center"/>
          </w:tcPr>
          <w:p w14:paraId="1CBA1D69" w14:textId="77777777" w:rsidR="002A4F32" w:rsidRPr="00D6528B" w:rsidRDefault="002A4F32" w:rsidP="00B953E3">
            <w:pPr>
              <w:rPr>
                <w:sz w:val="24"/>
                <w:szCs w:val="24"/>
                <w:highlight w:val="yellow"/>
              </w:rPr>
            </w:pPr>
            <w:r w:rsidRPr="00D6528B">
              <w:rPr>
                <w:sz w:val="24"/>
                <w:szCs w:val="24"/>
              </w:rPr>
              <w:t xml:space="preserve">Highest modeled annual mean </w:t>
            </w:r>
          </w:p>
        </w:tc>
        <w:tc>
          <w:tcPr>
            <w:tcW w:w="2430" w:type="dxa"/>
            <w:tcBorders>
              <w:right w:val="single" w:sz="4" w:space="0" w:color="auto"/>
            </w:tcBorders>
          </w:tcPr>
          <w:p w14:paraId="2B06F4A7" w14:textId="77777777" w:rsidR="002A4F32" w:rsidRPr="00D6528B" w:rsidRDefault="002A4F32" w:rsidP="00B953E3">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2A4F32" w:rsidRPr="00B70A0A" w14:paraId="72851F06" w14:textId="77777777" w:rsidTr="00B953E3">
        <w:trPr>
          <w:cantSplit/>
          <w:jc w:val="center"/>
        </w:trPr>
        <w:tc>
          <w:tcPr>
            <w:tcW w:w="1296" w:type="dxa"/>
            <w:vMerge w:val="restart"/>
            <w:tcBorders>
              <w:left w:val="single" w:sz="4" w:space="0" w:color="auto"/>
            </w:tcBorders>
            <w:vAlign w:val="center"/>
          </w:tcPr>
          <w:p w14:paraId="08E83883" w14:textId="77777777" w:rsidR="002A4F32" w:rsidRPr="00D6528B" w:rsidRDefault="002A4F32" w:rsidP="00B953E3">
            <w:pPr>
              <w:jc w:val="center"/>
              <w:rPr>
                <w:sz w:val="24"/>
                <w:szCs w:val="24"/>
              </w:rPr>
            </w:pPr>
            <w:r w:rsidRPr="00D6528B">
              <w:rPr>
                <w:sz w:val="24"/>
                <w:szCs w:val="24"/>
              </w:rPr>
              <w:t>SO</w:t>
            </w:r>
            <w:r w:rsidRPr="00D6528B">
              <w:rPr>
                <w:sz w:val="24"/>
                <w:szCs w:val="24"/>
                <w:vertAlign w:val="subscript"/>
              </w:rPr>
              <w:t>2</w:t>
            </w:r>
            <w:r w:rsidRPr="00D6528B">
              <w:rPr>
                <w:sz w:val="24"/>
                <w:szCs w:val="24"/>
              </w:rPr>
              <w:t xml:space="preserve"> </w:t>
            </w:r>
          </w:p>
          <w:p w14:paraId="4FCCB3F5" w14:textId="77777777" w:rsidR="002A4F32" w:rsidRPr="00D6528B" w:rsidRDefault="002A4F32" w:rsidP="00B953E3">
            <w:pPr>
              <w:jc w:val="center"/>
              <w:rPr>
                <w:sz w:val="24"/>
                <w:szCs w:val="24"/>
              </w:rPr>
            </w:pPr>
            <w:r w:rsidRPr="00D6528B">
              <w:rPr>
                <w:sz w:val="24"/>
                <w:szCs w:val="24"/>
              </w:rPr>
              <w:t xml:space="preserve"> </w:t>
            </w:r>
          </w:p>
        </w:tc>
        <w:tc>
          <w:tcPr>
            <w:tcW w:w="1314" w:type="dxa"/>
            <w:vAlign w:val="center"/>
          </w:tcPr>
          <w:p w14:paraId="7B20AAF2" w14:textId="77777777" w:rsidR="002A4F32" w:rsidRPr="00D6528B" w:rsidRDefault="002A4F32" w:rsidP="00B953E3">
            <w:pPr>
              <w:rPr>
                <w:sz w:val="24"/>
                <w:szCs w:val="24"/>
              </w:rPr>
            </w:pPr>
            <w:r w:rsidRPr="00D6528B">
              <w:rPr>
                <w:sz w:val="24"/>
                <w:szCs w:val="24"/>
              </w:rPr>
              <w:t>1-hour</w:t>
            </w:r>
          </w:p>
        </w:tc>
        <w:tc>
          <w:tcPr>
            <w:tcW w:w="1170" w:type="dxa"/>
            <w:tcBorders>
              <w:right w:val="nil"/>
            </w:tcBorders>
            <w:vAlign w:val="center"/>
          </w:tcPr>
          <w:p w14:paraId="2F4B0A2A" w14:textId="77777777" w:rsidR="002A4F32" w:rsidRPr="00D6528B" w:rsidRDefault="002A4F32" w:rsidP="00B953E3">
            <w:pPr>
              <w:jc w:val="center"/>
              <w:rPr>
                <w:sz w:val="24"/>
                <w:szCs w:val="24"/>
              </w:rPr>
            </w:pPr>
            <w:r w:rsidRPr="00D6528B">
              <w:rPr>
                <w:sz w:val="24"/>
                <w:szCs w:val="24"/>
              </w:rPr>
              <w:t>7.9</w:t>
            </w:r>
          </w:p>
        </w:tc>
        <w:tc>
          <w:tcPr>
            <w:tcW w:w="2430" w:type="dxa"/>
            <w:tcBorders>
              <w:right w:val="nil"/>
            </w:tcBorders>
            <w:vAlign w:val="center"/>
          </w:tcPr>
          <w:p w14:paraId="6CD1B7A9" w14:textId="77777777" w:rsidR="002A4F32" w:rsidRPr="00D6528B" w:rsidRDefault="002A4F32" w:rsidP="00B953E3">
            <w:pPr>
              <w:autoSpaceDE w:val="0"/>
              <w:autoSpaceDN w:val="0"/>
              <w:adjustRightInd w:val="0"/>
              <w:rPr>
                <w:sz w:val="24"/>
                <w:szCs w:val="24"/>
              </w:rPr>
            </w:pPr>
            <w:r w:rsidRPr="00D6528B">
              <w:rPr>
                <w:sz w:val="24"/>
                <w:szCs w:val="24"/>
              </w:rPr>
              <w:t>Highest first high (H1H) concentration predicted each year at each receptor, averaged across five years</w:t>
            </w:r>
          </w:p>
        </w:tc>
        <w:tc>
          <w:tcPr>
            <w:tcW w:w="2430" w:type="dxa"/>
            <w:tcBorders>
              <w:right w:val="single" w:sz="4" w:space="0" w:color="auto"/>
            </w:tcBorders>
          </w:tcPr>
          <w:p w14:paraId="447FB665" w14:textId="77777777" w:rsidR="002A4F32" w:rsidRPr="00D6528B" w:rsidRDefault="002A4F32" w:rsidP="00B953E3">
            <w:pPr>
              <w:autoSpaceDE w:val="0"/>
              <w:autoSpaceDN w:val="0"/>
              <w:adjustRightInd w:val="0"/>
              <w:rPr>
                <w:sz w:val="24"/>
                <w:szCs w:val="24"/>
              </w:rPr>
            </w:pPr>
            <w:r w:rsidRPr="00D6528B">
              <w:rPr>
                <w:sz w:val="24"/>
                <w:szCs w:val="24"/>
              </w:rPr>
              <w:t xml:space="preserve">U.S. EPA MCHM, Aug 23, 2010 </w:t>
            </w:r>
          </w:p>
        </w:tc>
      </w:tr>
      <w:tr w:rsidR="002A4F32" w:rsidRPr="00B70A0A" w14:paraId="127427D0" w14:textId="77777777" w:rsidTr="00B953E3">
        <w:trPr>
          <w:cantSplit/>
          <w:jc w:val="center"/>
        </w:trPr>
        <w:tc>
          <w:tcPr>
            <w:tcW w:w="1296" w:type="dxa"/>
            <w:vMerge/>
            <w:tcBorders>
              <w:left w:val="single" w:sz="4" w:space="0" w:color="auto"/>
            </w:tcBorders>
            <w:vAlign w:val="center"/>
          </w:tcPr>
          <w:p w14:paraId="78041D51" w14:textId="77777777" w:rsidR="002A4F32" w:rsidRPr="00D6528B" w:rsidRDefault="002A4F32" w:rsidP="00B953E3">
            <w:pPr>
              <w:jc w:val="center"/>
              <w:rPr>
                <w:sz w:val="24"/>
                <w:szCs w:val="24"/>
              </w:rPr>
            </w:pPr>
          </w:p>
        </w:tc>
        <w:tc>
          <w:tcPr>
            <w:tcW w:w="1314" w:type="dxa"/>
            <w:vAlign w:val="center"/>
          </w:tcPr>
          <w:p w14:paraId="50E59B3E" w14:textId="77777777" w:rsidR="002A4F32" w:rsidRPr="00D6528B" w:rsidRDefault="002A4F32" w:rsidP="00B953E3">
            <w:pPr>
              <w:rPr>
                <w:sz w:val="24"/>
                <w:szCs w:val="24"/>
              </w:rPr>
            </w:pPr>
            <w:r w:rsidRPr="00D6528B">
              <w:rPr>
                <w:sz w:val="24"/>
                <w:szCs w:val="24"/>
              </w:rPr>
              <w:t>3-hour Secondary Std</w:t>
            </w:r>
          </w:p>
        </w:tc>
        <w:tc>
          <w:tcPr>
            <w:tcW w:w="1170" w:type="dxa"/>
            <w:tcBorders>
              <w:right w:val="nil"/>
            </w:tcBorders>
            <w:vAlign w:val="center"/>
          </w:tcPr>
          <w:p w14:paraId="13818C3E" w14:textId="77777777" w:rsidR="002A4F32" w:rsidRPr="00D6528B" w:rsidRDefault="002A4F32" w:rsidP="00B953E3">
            <w:pPr>
              <w:jc w:val="center"/>
              <w:rPr>
                <w:sz w:val="24"/>
                <w:szCs w:val="24"/>
              </w:rPr>
            </w:pPr>
            <w:r w:rsidRPr="00D6528B">
              <w:rPr>
                <w:sz w:val="24"/>
                <w:szCs w:val="24"/>
              </w:rPr>
              <w:t>25</w:t>
            </w:r>
          </w:p>
        </w:tc>
        <w:tc>
          <w:tcPr>
            <w:tcW w:w="2430" w:type="dxa"/>
            <w:tcBorders>
              <w:right w:val="nil"/>
            </w:tcBorders>
            <w:vAlign w:val="center"/>
          </w:tcPr>
          <w:p w14:paraId="6BEDDD85" w14:textId="77777777" w:rsidR="002A4F32" w:rsidRPr="00D6528B" w:rsidRDefault="002A4F32" w:rsidP="00B953E3">
            <w:pPr>
              <w:rPr>
                <w:sz w:val="24"/>
                <w:szCs w:val="24"/>
              </w:rPr>
            </w:pPr>
            <w:r w:rsidRPr="00D6528B">
              <w:rPr>
                <w:sz w:val="24"/>
                <w:szCs w:val="24"/>
              </w:rPr>
              <w:t>Highest modeled impact</w:t>
            </w:r>
          </w:p>
        </w:tc>
        <w:tc>
          <w:tcPr>
            <w:tcW w:w="2430" w:type="dxa"/>
            <w:tcBorders>
              <w:right w:val="single" w:sz="4" w:space="0" w:color="auto"/>
            </w:tcBorders>
          </w:tcPr>
          <w:p w14:paraId="1F581D99" w14:textId="77777777" w:rsidR="002A4F32" w:rsidRPr="00D6528B" w:rsidRDefault="002A4F32" w:rsidP="00B953E3">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2A4F32" w:rsidRPr="00B70A0A" w14:paraId="3CB6AEF3" w14:textId="77777777" w:rsidTr="00B953E3">
        <w:trPr>
          <w:cantSplit/>
          <w:jc w:val="center"/>
        </w:trPr>
        <w:tc>
          <w:tcPr>
            <w:tcW w:w="1296" w:type="dxa"/>
            <w:tcBorders>
              <w:left w:val="single" w:sz="4" w:space="0" w:color="auto"/>
            </w:tcBorders>
            <w:vAlign w:val="center"/>
          </w:tcPr>
          <w:p w14:paraId="0D281701" w14:textId="77777777" w:rsidR="002A4F32" w:rsidRPr="00D6528B" w:rsidRDefault="002A4F32" w:rsidP="00B953E3">
            <w:pPr>
              <w:jc w:val="center"/>
              <w:rPr>
                <w:sz w:val="24"/>
                <w:szCs w:val="24"/>
              </w:rPr>
            </w:pPr>
            <w:r w:rsidRPr="00D6528B">
              <w:rPr>
                <w:sz w:val="24"/>
                <w:szCs w:val="24"/>
              </w:rPr>
              <w:t>PM</w:t>
            </w:r>
            <w:r w:rsidRPr="00D6528B">
              <w:rPr>
                <w:sz w:val="24"/>
                <w:szCs w:val="24"/>
                <w:vertAlign w:val="subscript"/>
              </w:rPr>
              <w:t>10</w:t>
            </w:r>
          </w:p>
        </w:tc>
        <w:tc>
          <w:tcPr>
            <w:tcW w:w="1314" w:type="dxa"/>
            <w:vAlign w:val="center"/>
          </w:tcPr>
          <w:p w14:paraId="56073CEE" w14:textId="77777777" w:rsidR="002A4F32" w:rsidRPr="00D6528B" w:rsidRDefault="002A4F32" w:rsidP="00B953E3">
            <w:pPr>
              <w:rPr>
                <w:sz w:val="24"/>
                <w:szCs w:val="24"/>
              </w:rPr>
            </w:pPr>
            <w:r w:rsidRPr="00D6528B">
              <w:rPr>
                <w:sz w:val="24"/>
                <w:szCs w:val="24"/>
              </w:rPr>
              <w:t>24-hour</w:t>
            </w:r>
          </w:p>
        </w:tc>
        <w:tc>
          <w:tcPr>
            <w:tcW w:w="1170" w:type="dxa"/>
            <w:tcBorders>
              <w:right w:val="nil"/>
            </w:tcBorders>
            <w:vAlign w:val="center"/>
          </w:tcPr>
          <w:p w14:paraId="6EB95FCF" w14:textId="77777777" w:rsidR="002A4F32" w:rsidRPr="00D6528B" w:rsidRDefault="002A4F32" w:rsidP="00B953E3">
            <w:pPr>
              <w:jc w:val="center"/>
              <w:rPr>
                <w:sz w:val="24"/>
                <w:szCs w:val="24"/>
              </w:rPr>
            </w:pPr>
            <w:r w:rsidRPr="00D6528B">
              <w:rPr>
                <w:sz w:val="24"/>
                <w:szCs w:val="24"/>
              </w:rPr>
              <w:t>5</w:t>
            </w:r>
          </w:p>
        </w:tc>
        <w:tc>
          <w:tcPr>
            <w:tcW w:w="2430" w:type="dxa"/>
            <w:tcBorders>
              <w:right w:val="nil"/>
            </w:tcBorders>
            <w:vAlign w:val="center"/>
          </w:tcPr>
          <w:p w14:paraId="589D70DF" w14:textId="77777777" w:rsidR="002A4F32" w:rsidRPr="00D6528B" w:rsidRDefault="002A4F32" w:rsidP="00B953E3">
            <w:pPr>
              <w:rPr>
                <w:sz w:val="24"/>
                <w:szCs w:val="24"/>
              </w:rPr>
            </w:pPr>
            <w:r w:rsidRPr="00D6528B">
              <w:rPr>
                <w:sz w:val="24"/>
                <w:szCs w:val="24"/>
              </w:rPr>
              <w:t>Highest modeled impact</w:t>
            </w:r>
          </w:p>
        </w:tc>
        <w:tc>
          <w:tcPr>
            <w:tcW w:w="2430" w:type="dxa"/>
            <w:tcBorders>
              <w:right w:val="single" w:sz="4" w:space="0" w:color="auto"/>
            </w:tcBorders>
          </w:tcPr>
          <w:p w14:paraId="2B0011C6" w14:textId="77777777" w:rsidR="002A4F32" w:rsidRPr="00D6528B" w:rsidRDefault="002A4F32" w:rsidP="00B953E3">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2A4F32" w:rsidRPr="00B70A0A" w14:paraId="6221459B" w14:textId="77777777" w:rsidTr="00B953E3">
        <w:trPr>
          <w:cantSplit/>
          <w:jc w:val="center"/>
        </w:trPr>
        <w:tc>
          <w:tcPr>
            <w:tcW w:w="1296" w:type="dxa"/>
            <w:vMerge w:val="restart"/>
            <w:tcBorders>
              <w:left w:val="single" w:sz="4" w:space="0" w:color="auto"/>
            </w:tcBorders>
            <w:vAlign w:val="center"/>
          </w:tcPr>
          <w:p w14:paraId="476267D5" w14:textId="77777777" w:rsidR="002A4F32" w:rsidRPr="00D6528B" w:rsidRDefault="002A4F32" w:rsidP="00B953E3">
            <w:pPr>
              <w:jc w:val="center"/>
              <w:rPr>
                <w:sz w:val="24"/>
                <w:szCs w:val="24"/>
              </w:rPr>
            </w:pPr>
            <w:r w:rsidRPr="00D6528B">
              <w:rPr>
                <w:sz w:val="24"/>
                <w:szCs w:val="24"/>
              </w:rPr>
              <w:t>PM</w:t>
            </w:r>
            <w:r w:rsidRPr="00D6528B">
              <w:rPr>
                <w:sz w:val="24"/>
                <w:szCs w:val="24"/>
                <w:vertAlign w:val="subscript"/>
              </w:rPr>
              <w:t>2.5</w:t>
            </w:r>
          </w:p>
        </w:tc>
        <w:tc>
          <w:tcPr>
            <w:tcW w:w="1314" w:type="dxa"/>
            <w:vAlign w:val="center"/>
          </w:tcPr>
          <w:p w14:paraId="25364221" w14:textId="77777777" w:rsidR="002A4F32" w:rsidRPr="00D6528B" w:rsidRDefault="002A4F32" w:rsidP="00B953E3">
            <w:pPr>
              <w:rPr>
                <w:sz w:val="24"/>
                <w:szCs w:val="24"/>
              </w:rPr>
            </w:pPr>
            <w:r w:rsidRPr="00D6528B">
              <w:rPr>
                <w:sz w:val="24"/>
                <w:szCs w:val="24"/>
              </w:rPr>
              <w:t>24-hour</w:t>
            </w:r>
          </w:p>
        </w:tc>
        <w:tc>
          <w:tcPr>
            <w:tcW w:w="1170" w:type="dxa"/>
            <w:tcBorders>
              <w:right w:val="nil"/>
            </w:tcBorders>
            <w:vAlign w:val="center"/>
          </w:tcPr>
          <w:p w14:paraId="2D93A71C" w14:textId="77777777" w:rsidR="002A4F32" w:rsidRPr="00D6528B" w:rsidRDefault="002A4F32" w:rsidP="00B953E3">
            <w:pPr>
              <w:jc w:val="center"/>
              <w:rPr>
                <w:sz w:val="24"/>
                <w:szCs w:val="24"/>
              </w:rPr>
            </w:pPr>
            <w:r w:rsidRPr="00D6528B">
              <w:rPr>
                <w:sz w:val="24"/>
                <w:szCs w:val="24"/>
              </w:rPr>
              <w:t>1.2</w:t>
            </w:r>
          </w:p>
        </w:tc>
        <w:tc>
          <w:tcPr>
            <w:tcW w:w="2430" w:type="dxa"/>
            <w:tcBorders>
              <w:right w:val="nil"/>
            </w:tcBorders>
            <w:vAlign w:val="center"/>
          </w:tcPr>
          <w:p w14:paraId="147E9CB7" w14:textId="77777777" w:rsidR="002A4F32" w:rsidRPr="00D6528B" w:rsidRDefault="002A4F32" w:rsidP="00B953E3">
            <w:pPr>
              <w:rPr>
                <w:sz w:val="24"/>
                <w:szCs w:val="24"/>
                <w:highlight w:val="yellow"/>
              </w:rPr>
            </w:pPr>
            <w:r w:rsidRPr="00D6528B">
              <w:rPr>
                <w:sz w:val="24"/>
                <w:szCs w:val="24"/>
              </w:rPr>
              <w:t>Highest modeled impact averaged across 5-years</w:t>
            </w:r>
          </w:p>
        </w:tc>
        <w:tc>
          <w:tcPr>
            <w:tcW w:w="2430" w:type="dxa"/>
            <w:tcBorders>
              <w:right w:val="single" w:sz="4" w:space="0" w:color="auto"/>
            </w:tcBorders>
          </w:tcPr>
          <w:p w14:paraId="584ECD27" w14:textId="77777777" w:rsidR="002A4F32" w:rsidRPr="00D6528B" w:rsidRDefault="002A4F32" w:rsidP="00B953E3">
            <w:pPr>
              <w:rPr>
                <w:sz w:val="24"/>
                <w:szCs w:val="24"/>
              </w:rPr>
            </w:pPr>
            <w:r w:rsidRPr="00736F30">
              <w:rPr>
                <w:sz w:val="24"/>
                <w:szCs w:val="24"/>
              </w:rPr>
              <w:t>Title 129, Ch. 17</w:t>
            </w:r>
            <w:r>
              <w:rPr>
                <w:sz w:val="24"/>
                <w:szCs w:val="24"/>
              </w:rPr>
              <w:t>,</w:t>
            </w:r>
            <w:r w:rsidRPr="00736F30">
              <w:rPr>
                <w:sz w:val="24"/>
                <w:szCs w:val="24"/>
              </w:rPr>
              <w:t xml:space="preserve"> </w:t>
            </w:r>
            <w:r w:rsidRPr="00D6528B">
              <w:rPr>
                <w:sz w:val="24"/>
                <w:szCs w:val="24"/>
                <w:u w:val="single"/>
              </w:rPr>
              <w:t>018.02A</w:t>
            </w:r>
            <w:r w:rsidRPr="00D6528B">
              <w:rPr>
                <w:sz w:val="24"/>
                <w:szCs w:val="24"/>
              </w:rPr>
              <w:t xml:space="preserve"> &amp; </w:t>
            </w:r>
            <w:r w:rsidRPr="00736F30">
              <w:rPr>
                <w:sz w:val="24"/>
                <w:szCs w:val="24"/>
                <w:u w:val="single"/>
              </w:rPr>
              <w:t>018.02</w:t>
            </w:r>
            <w:r>
              <w:rPr>
                <w:sz w:val="24"/>
                <w:szCs w:val="24"/>
                <w:u w:val="single"/>
              </w:rPr>
              <w:t>B</w:t>
            </w:r>
          </w:p>
        </w:tc>
      </w:tr>
      <w:tr w:rsidR="002A4F32" w:rsidRPr="00B70A0A" w14:paraId="51D25246" w14:textId="77777777" w:rsidTr="00B953E3">
        <w:trPr>
          <w:cantSplit/>
          <w:jc w:val="center"/>
        </w:trPr>
        <w:tc>
          <w:tcPr>
            <w:tcW w:w="1296" w:type="dxa"/>
            <w:vMerge/>
            <w:tcBorders>
              <w:left w:val="single" w:sz="4" w:space="0" w:color="auto"/>
            </w:tcBorders>
            <w:vAlign w:val="center"/>
          </w:tcPr>
          <w:p w14:paraId="31782F7D" w14:textId="77777777" w:rsidR="002A4F32" w:rsidRPr="00D6528B" w:rsidRDefault="002A4F32" w:rsidP="00B953E3">
            <w:pPr>
              <w:jc w:val="center"/>
              <w:rPr>
                <w:sz w:val="24"/>
                <w:szCs w:val="24"/>
              </w:rPr>
            </w:pPr>
          </w:p>
        </w:tc>
        <w:tc>
          <w:tcPr>
            <w:tcW w:w="1314" w:type="dxa"/>
            <w:vAlign w:val="center"/>
          </w:tcPr>
          <w:p w14:paraId="6AC2A2A1" w14:textId="77777777" w:rsidR="002A4F32" w:rsidRPr="00D6528B" w:rsidRDefault="002A4F32" w:rsidP="00B953E3">
            <w:pPr>
              <w:rPr>
                <w:sz w:val="24"/>
                <w:szCs w:val="24"/>
              </w:rPr>
            </w:pPr>
            <w:r w:rsidRPr="00D6528B">
              <w:rPr>
                <w:sz w:val="24"/>
                <w:szCs w:val="24"/>
              </w:rPr>
              <w:t>Annual</w:t>
            </w:r>
          </w:p>
        </w:tc>
        <w:tc>
          <w:tcPr>
            <w:tcW w:w="1170" w:type="dxa"/>
            <w:tcBorders>
              <w:right w:val="nil"/>
            </w:tcBorders>
            <w:vAlign w:val="center"/>
          </w:tcPr>
          <w:p w14:paraId="47E5DA9F" w14:textId="77777777" w:rsidR="002A4F32" w:rsidRPr="00D6528B" w:rsidRDefault="002A4F32" w:rsidP="00B953E3">
            <w:pPr>
              <w:jc w:val="center"/>
              <w:rPr>
                <w:sz w:val="24"/>
                <w:szCs w:val="24"/>
              </w:rPr>
            </w:pPr>
            <w:r w:rsidRPr="00D6528B">
              <w:rPr>
                <w:sz w:val="24"/>
                <w:szCs w:val="24"/>
              </w:rPr>
              <w:t>0.3</w:t>
            </w:r>
          </w:p>
        </w:tc>
        <w:tc>
          <w:tcPr>
            <w:tcW w:w="2430" w:type="dxa"/>
            <w:tcBorders>
              <w:right w:val="nil"/>
            </w:tcBorders>
            <w:vAlign w:val="center"/>
          </w:tcPr>
          <w:p w14:paraId="5800E153" w14:textId="77777777" w:rsidR="002A4F32" w:rsidRPr="00D6528B" w:rsidRDefault="002A4F32" w:rsidP="00B953E3">
            <w:pPr>
              <w:rPr>
                <w:sz w:val="24"/>
                <w:szCs w:val="24"/>
              </w:rPr>
            </w:pPr>
            <w:r w:rsidRPr="00D6528B">
              <w:rPr>
                <w:sz w:val="24"/>
                <w:szCs w:val="24"/>
              </w:rPr>
              <w:t>Highest modeled annual mean averaged across 5-years</w:t>
            </w:r>
          </w:p>
        </w:tc>
        <w:tc>
          <w:tcPr>
            <w:tcW w:w="2430" w:type="dxa"/>
            <w:tcBorders>
              <w:right w:val="single" w:sz="4" w:space="0" w:color="auto"/>
            </w:tcBorders>
          </w:tcPr>
          <w:p w14:paraId="34D105A5" w14:textId="77777777" w:rsidR="002A4F32" w:rsidRPr="00D6528B" w:rsidRDefault="002A4F32" w:rsidP="00B953E3">
            <w:pPr>
              <w:rPr>
                <w:sz w:val="24"/>
                <w:szCs w:val="24"/>
              </w:rPr>
            </w:pPr>
            <w:r w:rsidRPr="00736F30">
              <w:rPr>
                <w:sz w:val="24"/>
                <w:szCs w:val="24"/>
              </w:rPr>
              <w:t>Title 129, Ch. 17</w:t>
            </w:r>
            <w:r>
              <w:rPr>
                <w:sz w:val="24"/>
                <w:szCs w:val="24"/>
              </w:rPr>
              <w:t>,</w:t>
            </w:r>
            <w:r w:rsidRPr="00736F30">
              <w:rPr>
                <w:sz w:val="24"/>
                <w:szCs w:val="24"/>
              </w:rPr>
              <w:t xml:space="preserve"> </w:t>
            </w:r>
            <w:r w:rsidRPr="00736F30">
              <w:rPr>
                <w:sz w:val="24"/>
                <w:szCs w:val="24"/>
                <w:u w:val="single"/>
              </w:rPr>
              <w:t>009</w:t>
            </w:r>
          </w:p>
        </w:tc>
      </w:tr>
      <w:tr w:rsidR="002A4F32" w:rsidRPr="00B70A0A" w14:paraId="1623F9B4" w14:textId="77777777" w:rsidTr="00B953E3">
        <w:trPr>
          <w:cantSplit/>
          <w:jc w:val="center"/>
        </w:trPr>
        <w:tc>
          <w:tcPr>
            <w:tcW w:w="1296" w:type="dxa"/>
            <w:tcBorders>
              <w:left w:val="single" w:sz="4" w:space="0" w:color="auto"/>
            </w:tcBorders>
          </w:tcPr>
          <w:p w14:paraId="0CAB1E46" w14:textId="77777777" w:rsidR="002A4F32" w:rsidRPr="00D6528B" w:rsidRDefault="002A4F32" w:rsidP="00B953E3">
            <w:pPr>
              <w:jc w:val="center"/>
              <w:rPr>
                <w:sz w:val="24"/>
                <w:szCs w:val="24"/>
              </w:rPr>
            </w:pPr>
            <w:r w:rsidRPr="00D6528B">
              <w:rPr>
                <w:sz w:val="24"/>
                <w:szCs w:val="24"/>
              </w:rPr>
              <w:t>Total Reduced Sulfur (including H</w:t>
            </w:r>
            <w:r w:rsidRPr="00D6528B">
              <w:rPr>
                <w:sz w:val="24"/>
                <w:szCs w:val="24"/>
                <w:vertAlign w:val="subscript"/>
              </w:rPr>
              <w:t>2</w:t>
            </w:r>
            <w:r w:rsidRPr="00D6528B">
              <w:rPr>
                <w:sz w:val="24"/>
                <w:szCs w:val="24"/>
              </w:rPr>
              <w:t>S)</w:t>
            </w:r>
          </w:p>
        </w:tc>
        <w:tc>
          <w:tcPr>
            <w:tcW w:w="1314" w:type="dxa"/>
            <w:vAlign w:val="center"/>
          </w:tcPr>
          <w:p w14:paraId="1BB52AEA" w14:textId="77777777" w:rsidR="002A4F32" w:rsidRPr="00D6528B" w:rsidRDefault="002A4F32" w:rsidP="00B953E3">
            <w:pPr>
              <w:rPr>
                <w:sz w:val="24"/>
                <w:szCs w:val="24"/>
              </w:rPr>
            </w:pPr>
            <w:r w:rsidRPr="00D6528B">
              <w:rPr>
                <w:sz w:val="24"/>
                <w:szCs w:val="24"/>
              </w:rPr>
              <w:t>30-minute</w:t>
            </w:r>
          </w:p>
        </w:tc>
        <w:tc>
          <w:tcPr>
            <w:tcW w:w="1170" w:type="dxa"/>
            <w:tcBorders>
              <w:right w:val="nil"/>
            </w:tcBorders>
            <w:vAlign w:val="center"/>
          </w:tcPr>
          <w:p w14:paraId="103C116D" w14:textId="77777777" w:rsidR="002A4F32" w:rsidRPr="00D6528B" w:rsidRDefault="002A4F32" w:rsidP="00B953E3">
            <w:pPr>
              <w:jc w:val="center"/>
              <w:rPr>
                <w:sz w:val="24"/>
                <w:szCs w:val="24"/>
              </w:rPr>
            </w:pPr>
            <w:r w:rsidRPr="00D6528B">
              <w:rPr>
                <w:sz w:val="24"/>
                <w:szCs w:val="24"/>
              </w:rPr>
              <w:t xml:space="preserve">0.005 </w:t>
            </w:r>
            <w:r w:rsidRPr="00D6528B">
              <w:rPr>
                <w:b/>
                <w:sz w:val="24"/>
                <w:szCs w:val="24"/>
              </w:rPr>
              <w:t>ppm</w:t>
            </w:r>
          </w:p>
        </w:tc>
        <w:tc>
          <w:tcPr>
            <w:tcW w:w="2430" w:type="dxa"/>
            <w:tcBorders>
              <w:right w:val="nil"/>
            </w:tcBorders>
            <w:vAlign w:val="center"/>
          </w:tcPr>
          <w:p w14:paraId="6B7541D6" w14:textId="77777777" w:rsidR="002A4F32" w:rsidRPr="00D6528B" w:rsidRDefault="002A4F32" w:rsidP="00B953E3">
            <w:pPr>
              <w:rPr>
                <w:sz w:val="24"/>
                <w:szCs w:val="24"/>
              </w:rPr>
            </w:pPr>
            <w:r w:rsidRPr="00D6528B">
              <w:rPr>
                <w:sz w:val="24"/>
                <w:szCs w:val="24"/>
              </w:rPr>
              <w:t xml:space="preserve">Highest modeled impact </w:t>
            </w:r>
          </w:p>
        </w:tc>
        <w:tc>
          <w:tcPr>
            <w:tcW w:w="2430" w:type="dxa"/>
            <w:tcBorders>
              <w:right w:val="single" w:sz="4" w:space="0" w:color="auto"/>
            </w:tcBorders>
          </w:tcPr>
          <w:p w14:paraId="0C6B9446" w14:textId="77777777" w:rsidR="002A4F32" w:rsidRPr="00D6528B" w:rsidRDefault="002A4F32" w:rsidP="00B953E3">
            <w:pPr>
              <w:rPr>
                <w:color w:val="FF0000"/>
                <w:sz w:val="24"/>
                <w:szCs w:val="24"/>
              </w:rPr>
            </w:pPr>
          </w:p>
        </w:tc>
      </w:tr>
    </w:tbl>
    <w:p w14:paraId="7D2F31AC" w14:textId="77777777" w:rsidR="002A4F32" w:rsidRDefault="002A4F32" w:rsidP="00061DEA">
      <w:pPr>
        <w:ind w:left="720"/>
        <w:rPr>
          <w:sz w:val="24"/>
          <w:szCs w:val="24"/>
        </w:rPr>
      </w:pPr>
    </w:p>
    <w:p w14:paraId="16919809" w14:textId="77777777" w:rsidR="002A4F32" w:rsidRDefault="002A4F32">
      <w:pPr>
        <w:rPr>
          <w:sz w:val="24"/>
          <w:szCs w:val="24"/>
        </w:rPr>
      </w:pPr>
      <w:r>
        <w:rPr>
          <w:sz w:val="24"/>
          <w:szCs w:val="24"/>
        </w:rPr>
        <w:br w:type="page"/>
      </w:r>
    </w:p>
    <w:p w14:paraId="6A82512E" w14:textId="77777777" w:rsidR="002A4F32" w:rsidRDefault="002A4F32">
      <w:pPr>
        <w:rPr>
          <w:sz w:val="24"/>
          <w:szCs w:val="24"/>
        </w:rPr>
      </w:pPr>
    </w:p>
    <w:tbl>
      <w:tblPr>
        <w:tblStyle w:val="TableGrid"/>
        <w:tblW w:w="10800" w:type="dxa"/>
        <w:jc w:val="center"/>
        <w:tblLook w:val="04A0" w:firstRow="1" w:lastRow="0" w:firstColumn="1" w:lastColumn="0" w:noHBand="0" w:noVBand="1"/>
      </w:tblPr>
      <w:tblGrid>
        <w:gridCol w:w="1296"/>
        <w:gridCol w:w="113"/>
        <w:gridCol w:w="1314"/>
        <w:gridCol w:w="1497"/>
        <w:gridCol w:w="1229"/>
        <w:gridCol w:w="3371"/>
        <w:gridCol w:w="1980"/>
      </w:tblGrid>
      <w:tr w:rsidR="002A4F32" w:rsidRPr="002A4F32" w14:paraId="2A02EEE3" w14:textId="77777777" w:rsidTr="002A4F32">
        <w:trPr>
          <w:cantSplit/>
          <w:tblHeader/>
          <w:jc w:val="center"/>
        </w:trPr>
        <w:tc>
          <w:tcPr>
            <w:tcW w:w="1111" w:type="dxa"/>
            <w:gridSpan w:val="2"/>
            <w:tcBorders>
              <w:top w:val="nil"/>
              <w:left w:val="nil"/>
              <w:bottom w:val="single" w:sz="12" w:space="0" w:color="auto"/>
              <w:right w:val="nil"/>
            </w:tcBorders>
          </w:tcPr>
          <w:p w14:paraId="24714F98" w14:textId="77777777" w:rsidR="002A4F32" w:rsidRPr="002A4F32" w:rsidRDefault="002A4F32" w:rsidP="00B953E3">
            <w:pPr>
              <w:jc w:val="center"/>
              <w:rPr>
                <w:b/>
                <w:sz w:val="20"/>
                <w:szCs w:val="24"/>
              </w:rPr>
            </w:pPr>
          </w:p>
        </w:tc>
        <w:tc>
          <w:tcPr>
            <w:tcW w:w="5934" w:type="dxa"/>
            <w:gridSpan w:val="4"/>
            <w:tcBorders>
              <w:top w:val="nil"/>
              <w:left w:val="nil"/>
              <w:bottom w:val="single" w:sz="12" w:space="0" w:color="auto"/>
              <w:right w:val="nil"/>
            </w:tcBorders>
            <w:vAlign w:val="bottom"/>
          </w:tcPr>
          <w:p w14:paraId="2A0733B1" w14:textId="77777777" w:rsidR="002A4F32" w:rsidRPr="002A4F32" w:rsidRDefault="002A4F32" w:rsidP="00B953E3">
            <w:pPr>
              <w:jc w:val="center"/>
              <w:rPr>
                <w:b/>
                <w:sz w:val="20"/>
                <w:szCs w:val="24"/>
              </w:rPr>
            </w:pPr>
            <w:r w:rsidRPr="003C3E22">
              <w:rPr>
                <w:b/>
                <w:sz w:val="24"/>
                <w:szCs w:val="24"/>
              </w:rPr>
              <w:t>Ambient Air Quality Standards (NAAQS)</w:t>
            </w:r>
          </w:p>
        </w:tc>
        <w:tc>
          <w:tcPr>
            <w:tcW w:w="1595" w:type="dxa"/>
            <w:tcBorders>
              <w:top w:val="nil"/>
              <w:left w:val="nil"/>
              <w:bottom w:val="single" w:sz="12" w:space="0" w:color="auto"/>
              <w:right w:val="nil"/>
            </w:tcBorders>
          </w:tcPr>
          <w:p w14:paraId="7156CCFD" w14:textId="77777777" w:rsidR="002A4F32" w:rsidRPr="002A4F32" w:rsidRDefault="002A4F32" w:rsidP="00B953E3">
            <w:pPr>
              <w:jc w:val="center"/>
              <w:rPr>
                <w:b/>
                <w:sz w:val="20"/>
                <w:szCs w:val="24"/>
              </w:rPr>
            </w:pPr>
          </w:p>
        </w:tc>
      </w:tr>
      <w:tr w:rsidR="002A4F32" w:rsidRPr="002A4F32" w14:paraId="54C07C42" w14:textId="77777777" w:rsidTr="002A4F32">
        <w:trPr>
          <w:cantSplit/>
          <w:tblHeader/>
          <w:jc w:val="center"/>
        </w:trPr>
        <w:tc>
          <w:tcPr>
            <w:tcW w:w="1028" w:type="dxa"/>
            <w:tcBorders>
              <w:top w:val="nil"/>
              <w:left w:val="single" w:sz="4" w:space="0" w:color="auto"/>
              <w:bottom w:val="single" w:sz="12" w:space="0" w:color="auto"/>
            </w:tcBorders>
            <w:vAlign w:val="center"/>
          </w:tcPr>
          <w:p w14:paraId="4D93405F" w14:textId="77777777" w:rsidR="002A4F32" w:rsidRPr="003C3E22" w:rsidRDefault="002A4F32" w:rsidP="00B953E3">
            <w:pPr>
              <w:jc w:val="center"/>
              <w:rPr>
                <w:b/>
                <w:sz w:val="21"/>
                <w:szCs w:val="21"/>
              </w:rPr>
            </w:pPr>
            <w:r w:rsidRPr="003C3E22">
              <w:rPr>
                <w:b/>
                <w:sz w:val="21"/>
                <w:szCs w:val="21"/>
              </w:rPr>
              <w:t>Pollutant</w:t>
            </w:r>
          </w:p>
        </w:tc>
        <w:tc>
          <w:tcPr>
            <w:tcW w:w="1105" w:type="dxa"/>
            <w:gridSpan w:val="2"/>
            <w:tcBorders>
              <w:top w:val="nil"/>
              <w:bottom w:val="single" w:sz="12" w:space="0" w:color="auto"/>
            </w:tcBorders>
            <w:vAlign w:val="center"/>
          </w:tcPr>
          <w:p w14:paraId="25196869" w14:textId="77777777" w:rsidR="002A4F32" w:rsidRPr="003C3E22" w:rsidRDefault="002A4F32" w:rsidP="00B953E3">
            <w:pPr>
              <w:jc w:val="center"/>
              <w:rPr>
                <w:b/>
                <w:sz w:val="21"/>
                <w:szCs w:val="21"/>
              </w:rPr>
            </w:pPr>
            <w:r w:rsidRPr="003C3E22">
              <w:rPr>
                <w:b/>
                <w:sz w:val="21"/>
                <w:szCs w:val="21"/>
              </w:rPr>
              <w:t>Averaging Period</w:t>
            </w:r>
          </w:p>
        </w:tc>
        <w:tc>
          <w:tcPr>
            <w:tcW w:w="1206" w:type="dxa"/>
            <w:tcBorders>
              <w:top w:val="nil"/>
              <w:bottom w:val="single" w:sz="12" w:space="0" w:color="auto"/>
            </w:tcBorders>
            <w:vAlign w:val="center"/>
          </w:tcPr>
          <w:p w14:paraId="5AC74D33" w14:textId="77777777" w:rsidR="002A4F32" w:rsidRPr="003C3E22" w:rsidRDefault="002A4F32" w:rsidP="00B953E3">
            <w:pPr>
              <w:jc w:val="center"/>
              <w:rPr>
                <w:b/>
                <w:sz w:val="21"/>
                <w:szCs w:val="21"/>
              </w:rPr>
            </w:pPr>
            <w:r w:rsidRPr="003C3E22">
              <w:rPr>
                <w:b/>
                <w:sz w:val="21"/>
                <w:szCs w:val="21"/>
              </w:rPr>
              <w:t>Primary/</w:t>
            </w:r>
          </w:p>
          <w:p w14:paraId="2AE97B30" w14:textId="77777777" w:rsidR="002A4F32" w:rsidRPr="003C3E22" w:rsidRDefault="002A4F32" w:rsidP="00B953E3">
            <w:pPr>
              <w:jc w:val="center"/>
              <w:rPr>
                <w:b/>
                <w:sz w:val="21"/>
                <w:szCs w:val="21"/>
              </w:rPr>
            </w:pPr>
            <w:r w:rsidRPr="003C3E22">
              <w:rPr>
                <w:b/>
                <w:sz w:val="21"/>
                <w:szCs w:val="21"/>
              </w:rPr>
              <w:t>Secondary</w:t>
            </w:r>
          </w:p>
        </w:tc>
        <w:tc>
          <w:tcPr>
            <w:tcW w:w="990" w:type="dxa"/>
            <w:tcBorders>
              <w:top w:val="nil"/>
              <w:bottom w:val="single" w:sz="12" w:space="0" w:color="auto"/>
              <w:right w:val="nil"/>
            </w:tcBorders>
            <w:vAlign w:val="center"/>
          </w:tcPr>
          <w:p w14:paraId="5A27BC39" w14:textId="77777777" w:rsidR="002A4F32" w:rsidRPr="003C3E22" w:rsidRDefault="002A4F32" w:rsidP="00B953E3">
            <w:pPr>
              <w:jc w:val="center"/>
              <w:rPr>
                <w:b/>
                <w:sz w:val="21"/>
                <w:szCs w:val="21"/>
              </w:rPr>
            </w:pPr>
            <w:r w:rsidRPr="003C3E22">
              <w:rPr>
                <w:b/>
                <w:sz w:val="21"/>
                <w:szCs w:val="21"/>
              </w:rPr>
              <w:t>NAAQS (µg/m</w:t>
            </w:r>
            <w:r w:rsidRPr="003C3E22">
              <w:rPr>
                <w:b/>
                <w:sz w:val="21"/>
                <w:szCs w:val="21"/>
                <w:vertAlign w:val="superscript"/>
              </w:rPr>
              <w:t>3</w:t>
            </w:r>
            <w:r w:rsidRPr="003C3E22">
              <w:rPr>
                <w:b/>
                <w:sz w:val="21"/>
                <w:szCs w:val="21"/>
              </w:rPr>
              <w:t>)</w:t>
            </w:r>
          </w:p>
        </w:tc>
        <w:tc>
          <w:tcPr>
            <w:tcW w:w="2716" w:type="dxa"/>
            <w:tcBorders>
              <w:top w:val="nil"/>
              <w:bottom w:val="single" w:sz="12" w:space="0" w:color="auto"/>
              <w:right w:val="nil"/>
            </w:tcBorders>
            <w:vAlign w:val="center"/>
          </w:tcPr>
          <w:p w14:paraId="416CC41A" w14:textId="77777777" w:rsidR="002A4F32" w:rsidRPr="003C3E22" w:rsidRDefault="002A4F32" w:rsidP="00B953E3">
            <w:pPr>
              <w:jc w:val="center"/>
              <w:rPr>
                <w:b/>
                <w:sz w:val="21"/>
                <w:szCs w:val="21"/>
              </w:rPr>
            </w:pPr>
            <w:r w:rsidRPr="003C3E22">
              <w:rPr>
                <w:b/>
                <w:sz w:val="21"/>
                <w:szCs w:val="21"/>
              </w:rPr>
              <w:t>Design Value Form</w:t>
            </w:r>
          </w:p>
        </w:tc>
        <w:tc>
          <w:tcPr>
            <w:tcW w:w="1595" w:type="dxa"/>
            <w:tcBorders>
              <w:top w:val="single" w:sz="12" w:space="0" w:color="auto"/>
              <w:bottom w:val="single" w:sz="12" w:space="0" w:color="auto"/>
              <w:right w:val="single" w:sz="4" w:space="0" w:color="auto"/>
            </w:tcBorders>
            <w:vAlign w:val="center"/>
          </w:tcPr>
          <w:p w14:paraId="04ABFAC8" w14:textId="77777777" w:rsidR="002A4F32" w:rsidRPr="003C3E22" w:rsidRDefault="002A4F32" w:rsidP="00B953E3">
            <w:pPr>
              <w:jc w:val="center"/>
              <w:rPr>
                <w:b/>
                <w:sz w:val="21"/>
                <w:szCs w:val="21"/>
              </w:rPr>
            </w:pPr>
            <w:r w:rsidRPr="003C3E22">
              <w:rPr>
                <w:b/>
                <w:sz w:val="21"/>
                <w:szCs w:val="21"/>
              </w:rPr>
              <w:t>Reference</w:t>
            </w:r>
          </w:p>
        </w:tc>
      </w:tr>
      <w:tr w:rsidR="002A4F32" w:rsidRPr="002A4F32" w14:paraId="666B7165" w14:textId="77777777" w:rsidTr="002A4F32">
        <w:trPr>
          <w:cantSplit/>
          <w:jc w:val="center"/>
        </w:trPr>
        <w:tc>
          <w:tcPr>
            <w:tcW w:w="1028" w:type="dxa"/>
            <w:vMerge w:val="restart"/>
            <w:tcBorders>
              <w:top w:val="single" w:sz="12" w:space="0" w:color="auto"/>
              <w:left w:val="single" w:sz="4" w:space="0" w:color="auto"/>
            </w:tcBorders>
            <w:vAlign w:val="center"/>
          </w:tcPr>
          <w:p w14:paraId="776BD341" w14:textId="77777777" w:rsidR="002A4F32" w:rsidRPr="003C3E22" w:rsidRDefault="002A4F32" w:rsidP="00B953E3">
            <w:pPr>
              <w:jc w:val="center"/>
              <w:rPr>
                <w:sz w:val="21"/>
                <w:szCs w:val="21"/>
              </w:rPr>
            </w:pPr>
            <w:r w:rsidRPr="003C3E22">
              <w:rPr>
                <w:sz w:val="21"/>
                <w:szCs w:val="21"/>
              </w:rPr>
              <w:t>CO</w:t>
            </w:r>
          </w:p>
        </w:tc>
        <w:tc>
          <w:tcPr>
            <w:tcW w:w="1105" w:type="dxa"/>
            <w:gridSpan w:val="2"/>
            <w:tcBorders>
              <w:top w:val="single" w:sz="12" w:space="0" w:color="auto"/>
            </w:tcBorders>
            <w:vAlign w:val="center"/>
          </w:tcPr>
          <w:p w14:paraId="7E94584D" w14:textId="77777777" w:rsidR="002A4F32" w:rsidRPr="003C3E22" w:rsidRDefault="002A4F32" w:rsidP="00B953E3">
            <w:pPr>
              <w:rPr>
                <w:sz w:val="21"/>
                <w:szCs w:val="21"/>
              </w:rPr>
            </w:pPr>
            <w:r w:rsidRPr="003C3E22">
              <w:rPr>
                <w:sz w:val="21"/>
                <w:szCs w:val="21"/>
              </w:rPr>
              <w:t>1-hour</w:t>
            </w:r>
          </w:p>
        </w:tc>
        <w:tc>
          <w:tcPr>
            <w:tcW w:w="1206" w:type="dxa"/>
            <w:vMerge w:val="restart"/>
            <w:tcBorders>
              <w:top w:val="single" w:sz="12" w:space="0" w:color="auto"/>
            </w:tcBorders>
            <w:vAlign w:val="center"/>
          </w:tcPr>
          <w:p w14:paraId="1C0C6D33" w14:textId="77777777" w:rsidR="002A4F32" w:rsidRPr="003C3E22" w:rsidRDefault="002A4F32" w:rsidP="00B953E3">
            <w:pPr>
              <w:jc w:val="center"/>
              <w:rPr>
                <w:sz w:val="21"/>
                <w:szCs w:val="21"/>
              </w:rPr>
            </w:pPr>
            <w:r w:rsidRPr="003C3E22">
              <w:rPr>
                <w:sz w:val="21"/>
                <w:szCs w:val="21"/>
              </w:rPr>
              <w:t>primary</w:t>
            </w:r>
          </w:p>
        </w:tc>
        <w:tc>
          <w:tcPr>
            <w:tcW w:w="990" w:type="dxa"/>
            <w:tcBorders>
              <w:top w:val="single" w:sz="12" w:space="0" w:color="auto"/>
              <w:right w:val="nil"/>
            </w:tcBorders>
            <w:vAlign w:val="center"/>
          </w:tcPr>
          <w:p w14:paraId="23C5EE4F" w14:textId="77777777" w:rsidR="002A4F32" w:rsidRPr="003C3E22" w:rsidRDefault="002A4F32" w:rsidP="00B953E3">
            <w:pPr>
              <w:jc w:val="center"/>
              <w:rPr>
                <w:sz w:val="21"/>
                <w:szCs w:val="21"/>
              </w:rPr>
            </w:pPr>
            <w:r w:rsidRPr="003C3E22">
              <w:rPr>
                <w:sz w:val="21"/>
                <w:szCs w:val="21"/>
              </w:rPr>
              <w:t>40,000</w:t>
            </w:r>
          </w:p>
        </w:tc>
        <w:tc>
          <w:tcPr>
            <w:tcW w:w="2716" w:type="dxa"/>
            <w:tcBorders>
              <w:top w:val="single" w:sz="12" w:space="0" w:color="auto"/>
              <w:right w:val="nil"/>
            </w:tcBorders>
            <w:vAlign w:val="center"/>
          </w:tcPr>
          <w:p w14:paraId="7B5409B0" w14:textId="77777777" w:rsidR="002A4F32" w:rsidRPr="003C3E22" w:rsidRDefault="002A4F32" w:rsidP="00B953E3">
            <w:pPr>
              <w:rPr>
                <w:sz w:val="21"/>
                <w:szCs w:val="21"/>
              </w:rPr>
            </w:pPr>
            <w:r w:rsidRPr="003C3E22">
              <w:rPr>
                <w:sz w:val="21"/>
                <w:szCs w:val="21"/>
              </w:rPr>
              <w:t>Highest second high (H2H) concentrations for each year  modeled</w:t>
            </w:r>
          </w:p>
        </w:tc>
        <w:tc>
          <w:tcPr>
            <w:tcW w:w="1595" w:type="dxa"/>
            <w:tcBorders>
              <w:top w:val="single" w:sz="12" w:space="0" w:color="auto"/>
              <w:right w:val="single" w:sz="4" w:space="0" w:color="auto"/>
            </w:tcBorders>
          </w:tcPr>
          <w:p w14:paraId="62049F98" w14:textId="77777777" w:rsidR="002A4F32" w:rsidRPr="003C3E22" w:rsidRDefault="002A4F32" w:rsidP="00B953E3">
            <w:pPr>
              <w:rPr>
                <w:sz w:val="21"/>
                <w:szCs w:val="21"/>
              </w:rPr>
            </w:pPr>
            <w:r w:rsidRPr="003C3E22">
              <w:rPr>
                <w:sz w:val="21"/>
                <w:szCs w:val="21"/>
              </w:rPr>
              <w:t xml:space="preserve">40 CFR Appendix W 9.1 (d) 2016 </w:t>
            </w:r>
          </w:p>
        </w:tc>
      </w:tr>
      <w:tr w:rsidR="002A4F32" w:rsidRPr="002A4F32" w14:paraId="04064B74" w14:textId="77777777" w:rsidTr="002A4F32">
        <w:trPr>
          <w:cantSplit/>
          <w:jc w:val="center"/>
        </w:trPr>
        <w:tc>
          <w:tcPr>
            <w:tcW w:w="1028" w:type="dxa"/>
            <w:vMerge/>
            <w:tcBorders>
              <w:left w:val="single" w:sz="4" w:space="0" w:color="auto"/>
            </w:tcBorders>
            <w:vAlign w:val="center"/>
          </w:tcPr>
          <w:p w14:paraId="42EA0E1A" w14:textId="77777777" w:rsidR="002A4F32" w:rsidRPr="003C3E22" w:rsidRDefault="002A4F32" w:rsidP="00B953E3">
            <w:pPr>
              <w:jc w:val="center"/>
              <w:rPr>
                <w:sz w:val="21"/>
                <w:szCs w:val="21"/>
              </w:rPr>
            </w:pPr>
          </w:p>
        </w:tc>
        <w:tc>
          <w:tcPr>
            <w:tcW w:w="1105" w:type="dxa"/>
            <w:gridSpan w:val="2"/>
            <w:vAlign w:val="center"/>
          </w:tcPr>
          <w:p w14:paraId="282BD031" w14:textId="77777777" w:rsidR="002A4F32" w:rsidRPr="003C3E22" w:rsidRDefault="002A4F32" w:rsidP="00B953E3">
            <w:pPr>
              <w:rPr>
                <w:sz w:val="21"/>
                <w:szCs w:val="21"/>
              </w:rPr>
            </w:pPr>
            <w:r w:rsidRPr="003C3E22">
              <w:rPr>
                <w:sz w:val="21"/>
                <w:szCs w:val="21"/>
              </w:rPr>
              <w:t>8-hour</w:t>
            </w:r>
          </w:p>
        </w:tc>
        <w:tc>
          <w:tcPr>
            <w:tcW w:w="1206" w:type="dxa"/>
            <w:vMerge/>
            <w:vAlign w:val="center"/>
          </w:tcPr>
          <w:p w14:paraId="33DEABFD" w14:textId="77777777" w:rsidR="002A4F32" w:rsidRPr="003C3E22" w:rsidRDefault="002A4F32" w:rsidP="00B953E3">
            <w:pPr>
              <w:jc w:val="center"/>
              <w:rPr>
                <w:sz w:val="21"/>
                <w:szCs w:val="21"/>
              </w:rPr>
            </w:pPr>
          </w:p>
        </w:tc>
        <w:tc>
          <w:tcPr>
            <w:tcW w:w="990" w:type="dxa"/>
            <w:tcBorders>
              <w:bottom w:val="single" w:sz="4" w:space="0" w:color="auto"/>
              <w:right w:val="nil"/>
            </w:tcBorders>
            <w:vAlign w:val="center"/>
          </w:tcPr>
          <w:p w14:paraId="0078C7A1" w14:textId="77777777" w:rsidR="002A4F32" w:rsidRPr="003C3E22" w:rsidRDefault="002A4F32" w:rsidP="00B953E3">
            <w:pPr>
              <w:jc w:val="center"/>
              <w:rPr>
                <w:sz w:val="21"/>
                <w:szCs w:val="21"/>
              </w:rPr>
            </w:pPr>
            <w:r w:rsidRPr="003C3E22">
              <w:rPr>
                <w:sz w:val="21"/>
                <w:szCs w:val="21"/>
              </w:rPr>
              <w:t>10,000</w:t>
            </w:r>
          </w:p>
        </w:tc>
        <w:tc>
          <w:tcPr>
            <w:tcW w:w="2716" w:type="dxa"/>
            <w:tcBorders>
              <w:bottom w:val="single" w:sz="4" w:space="0" w:color="auto"/>
              <w:right w:val="nil"/>
            </w:tcBorders>
            <w:vAlign w:val="center"/>
          </w:tcPr>
          <w:p w14:paraId="348F203D" w14:textId="77777777" w:rsidR="002A4F32" w:rsidRPr="003C3E22" w:rsidRDefault="002A4F32" w:rsidP="00B953E3">
            <w:pPr>
              <w:rPr>
                <w:sz w:val="21"/>
                <w:szCs w:val="21"/>
              </w:rPr>
            </w:pPr>
            <w:r w:rsidRPr="003C3E22">
              <w:rPr>
                <w:sz w:val="21"/>
                <w:szCs w:val="21"/>
              </w:rPr>
              <w:t>Highest second high (H2H) concentrations for each year  modeled</w:t>
            </w:r>
          </w:p>
        </w:tc>
        <w:tc>
          <w:tcPr>
            <w:tcW w:w="1595" w:type="dxa"/>
            <w:tcBorders>
              <w:bottom w:val="single" w:sz="4" w:space="0" w:color="auto"/>
              <w:right w:val="single" w:sz="4" w:space="0" w:color="auto"/>
            </w:tcBorders>
          </w:tcPr>
          <w:p w14:paraId="71D49934" w14:textId="77777777" w:rsidR="002A4F32" w:rsidRPr="003C3E22" w:rsidRDefault="002A4F32" w:rsidP="00B953E3">
            <w:pPr>
              <w:rPr>
                <w:sz w:val="21"/>
                <w:szCs w:val="21"/>
              </w:rPr>
            </w:pPr>
            <w:r w:rsidRPr="003C3E22">
              <w:rPr>
                <w:sz w:val="21"/>
                <w:szCs w:val="21"/>
              </w:rPr>
              <w:t>40 CFR Appendix W 9.1 (d) 2016</w:t>
            </w:r>
          </w:p>
        </w:tc>
      </w:tr>
      <w:tr w:rsidR="002A4F32" w:rsidRPr="002A4F32" w14:paraId="596CAC8F" w14:textId="77777777" w:rsidTr="002A4F32">
        <w:trPr>
          <w:cantSplit/>
          <w:jc w:val="center"/>
        </w:trPr>
        <w:tc>
          <w:tcPr>
            <w:tcW w:w="1028" w:type="dxa"/>
            <w:vMerge w:val="restart"/>
            <w:tcBorders>
              <w:left w:val="single" w:sz="4" w:space="0" w:color="auto"/>
            </w:tcBorders>
            <w:vAlign w:val="center"/>
          </w:tcPr>
          <w:p w14:paraId="00895E10" w14:textId="77777777" w:rsidR="002A4F32" w:rsidRPr="003C3E22" w:rsidRDefault="002A4F32" w:rsidP="00B953E3">
            <w:pPr>
              <w:jc w:val="center"/>
              <w:rPr>
                <w:sz w:val="21"/>
                <w:szCs w:val="21"/>
              </w:rPr>
            </w:pPr>
            <w:r w:rsidRPr="003C3E22">
              <w:rPr>
                <w:sz w:val="21"/>
                <w:szCs w:val="21"/>
              </w:rPr>
              <w:t>NO</w:t>
            </w:r>
            <w:r w:rsidRPr="003C3E22">
              <w:rPr>
                <w:sz w:val="21"/>
                <w:szCs w:val="21"/>
                <w:vertAlign w:val="subscript"/>
              </w:rPr>
              <w:t>2</w:t>
            </w:r>
          </w:p>
        </w:tc>
        <w:tc>
          <w:tcPr>
            <w:tcW w:w="1105" w:type="dxa"/>
            <w:gridSpan w:val="2"/>
            <w:vAlign w:val="center"/>
          </w:tcPr>
          <w:p w14:paraId="30EA32C7" w14:textId="77777777" w:rsidR="002A4F32" w:rsidRPr="003C3E22" w:rsidRDefault="002A4F32" w:rsidP="00B953E3">
            <w:pPr>
              <w:rPr>
                <w:sz w:val="21"/>
                <w:szCs w:val="21"/>
              </w:rPr>
            </w:pPr>
            <w:r w:rsidRPr="003C3E22">
              <w:rPr>
                <w:sz w:val="21"/>
                <w:szCs w:val="21"/>
              </w:rPr>
              <w:t>1-hour</w:t>
            </w:r>
          </w:p>
        </w:tc>
        <w:tc>
          <w:tcPr>
            <w:tcW w:w="1206" w:type="dxa"/>
            <w:vAlign w:val="center"/>
          </w:tcPr>
          <w:p w14:paraId="23AAC128" w14:textId="77777777" w:rsidR="002A4F32" w:rsidRPr="003C3E22" w:rsidRDefault="002A4F32" w:rsidP="00B953E3">
            <w:pPr>
              <w:jc w:val="center"/>
              <w:rPr>
                <w:sz w:val="21"/>
                <w:szCs w:val="21"/>
              </w:rPr>
            </w:pPr>
            <w:r w:rsidRPr="003C3E22">
              <w:rPr>
                <w:sz w:val="21"/>
                <w:szCs w:val="21"/>
              </w:rPr>
              <w:t>primary</w:t>
            </w:r>
          </w:p>
        </w:tc>
        <w:tc>
          <w:tcPr>
            <w:tcW w:w="990" w:type="dxa"/>
            <w:tcBorders>
              <w:right w:val="nil"/>
            </w:tcBorders>
            <w:vAlign w:val="center"/>
          </w:tcPr>
          <w:p w14:paraId="68C0D7BC" w14:textId="77777777" w:rsidR="002A4F32" w:rsidRPr="003C3E22" w:rsidRDefault="002A4F32" w:rsidP="00B953E3">
            <w:pPr>
              <w:jc w:val="center"/>
              <w:rPr>
                <w:sz w:val="21"/>
                <w:szCs w:val="21"/>
              </w:rPr>
            </w:pPr>
            <w:r w:rsidRPr="003C3E22">
              <w:rPr>
                <w:sz w:val="21"/>
                <w:szCs w:val="21"/>
              </w:rPr>
              <w:t>188</w:t>
            </w:r>
          </w:p>
        </w:tc>
        <w:tc>
          <w:tcPr>
            <w:tcW w:w="2716" w:type="dxa"/>
            <w:tcBorders>
              <w:right w:val="nil"/>
            </w:tcBorders>
            <w:vAlign w:val="center"/>
          </w:tcPr>
          <w:p w14:paraId="49213255" w14:textId="77777777" w:rsidR="002A4F32" w:rsidRPr="003C3E22" w:rsidRDefault="002A4F32" w:rsidP="00B953E3">
            <w:pPr>
              <w:autoSpaceDE w:val="0"/>
              <w:autoSpaceDN w:val="0"/>
              <w:adjustRightInd w:val="0"/>
              <w:rPr>
                <w:rFonts w:eastAsiaTheme="minorHAnsi"/>
                <w:color w:val="000000"/>
                <w:sz w:val="21"/>
                <w:szCs w:val="21"/>
              </w:rPr>
            </w:pPr>
            <w:r w:rsidRPr="003C3E22">
              <w:rPr>
                <w:rFonts w:eastAsiaTheme="minorHAnsi"/>
                <w:color w:val="000000"/>
                <w:sz w:val="21"/>
                <w:szCs w:val="21"/>
              </w:rPr>
              <w:t>Highest eighth high (H8H) of the 98th percentile of the annual distribution of  maximum daily 1-hour concentrations averaged across five years</w:t>
            </w:r>
          </w:p>
          <w:p w14:paraId="1994BFBF" w14:textId="77777777" w:rsidR="002A4F32" w:rsidRPr="003C3E22" w:rsidRDefault="002A4F32" w:rsidP="00B953E3">
            <w:pPr>
              <w:rPr>
                <w:sz w:val="21"/>
                <w:szCs w:val="21"/>
              </w:rPr>
            </w:pPr>
          </w:p>
        </w:tc>
        <w:tc>
          <w:tcPr>
            <w:tcW w:w="1595" w:type="dxa"/>
            <w:tcBorders>
              <w:right w:val="single" w:sz="4" w:space="0" w:color="auto"/>
            </w:tcBorders>
          </w:tcPr>
          <w:p w14:paraId="7A8CC632" w14:textId="77777777" w:rsidR="002A4F32" w:rsidRPr="003C3E22" w:rsidRDefault="002A4F32" w:rsidP="00B953E3">
            <w:pPr>
              <w:autoSpaceDE w:val="0"/>
              <w:autoSpaceDN w:val="0"/>
              <w:adjustRightInd w:val="0"/>
              <w:rPr>
                <w:color w:val="000000"/>
                <w:sz w:val="21"/>
                <w:szCs w:val="21"/>
              </w:rPr>
            </w:pPr>
            <w:r w:rsidRPr="003C3E22">
              <w:rPr>
                <w:sz w:val="21"/>
                <w:szCs w:val="21"/>
              </w:rPr>
              <w:t>U.S. EPA MCHM,</w:t>
            </w:r>
            <w:r w:rsidRPr="003C3E22">
              <w:rPr>
                <w:color w:val="000000"/>
                <w:sz w:val="21"/>
                <w:szCs w:val="21"/>
              </w:rPr>
              <w:t xml:space="preserve"> June 28, 2010a &amp; </w:t>
            </w:r>
            <w:r w:rsidRPr="003C3E22">
              <w:rPr>
                <w:sz w:val="21"/>
                <w:szCs w:val="21"/>
              </w:rPr>
              <w:t>U.S. EPA MCHM,</w:t>
            </w:r>
            <w:r w:rsidRPr="003C3E22">
              <w:rPr>
                <w:color w:val="000000"/>
                <w:sz w:val="21"/>
                <w:szCs w:val="21"/>
              </w:rPr>
              <w:t xml:space="preserve"> March 1, 2011d</w:t>
            </w:r>
          </w:p>
          <w:p w14:paraId="059C54C5" w14:textId="77777777" w:rsidR="002A4F32" w:rsidRPr="003C3E22" w:rsidRDefault="002A4F32" w:rsidP="00B953E3">
            <w:pPr>
              <w:autoSpaceDE w:val="0"/>
              <w:autoSpaceDN w:val="0"/>
              <w:adjustRightInd w:val="0"/>
              <w:rPr>
                <w:rFonts w:eastAsiaTheme="minorHAnsi"/>
                <w:color w:val="000000"/>
                <w:sz w:val="21"/>
                <w:szCs w:val="21"/>
              </w:rPr>
            </w:pPr>
          </w:p>
        </w:tc>
      </w:tr>
      <w:tr w:rsidR="002A4F32" w:rsidRPr="002A4F32" w14:paraId="0539793B" w14:textId="77777777" w:rsidTr="002A4F32">
        <w:trPr>
          <w:cantSplit/>
          <w:jc w:val="center"/>
        </w:trPr>
        <w:tc>
          <w:tcPr>
            <w:tcW w:w="1028" w:type="dxa"/>
            <w:vMerge/>
            <w:tcBorders>
              <w:left w:val="single" w:sz="4" w:space="0" w:color="auto"/>
            </w:tcBorders>
            <w:vAlign w:val="center"/>
          </w:tcPr>
          <w:p w14:paraId="3924BD1F" w14:textId="77777777" w:rsidR="002A4F32" w:rsidRPr="003C3E22" w:rsidRDefault="002A4F32" w:rsidP="00B953E3">
            <w:pPr>
              <w:jc w:val="center"/>
              <w:rPr>
                <w:sz w:val="21"/>
                <w:szCs w:val="21"/>
              </w:rPr>
            </w:pPr>
          </w:p>
        </w:tc>
        <w:tc>
          <w:tcPr>
            <w:tcW w:w="1105" w:type="dxa"/>
            <w:gridSpan w:val="2"/>
            <w:vAlign w:val="center"/>
          </w:tcPr>
          <w:p w14:paraId="51781990" w14:textId="77777777" w:rsidR="002A4F32" w:rsidRPr="003C3E22" w:rsidRDefault="002A4F32" w:rsidP="00B953E3">
            <w:pPr>
              <w:rPr>
                <w:sz w:val="21"/>
                <w:szCs w:val="21"/>
              </w:rPr>
            </w:pPr>
            <w:r w:rsidRPr="003C3E22">
              <w:rPr>
                <w:sz w:val="21"/>
                <w:szCs w:val="21"/>
              </w:rPr>
              <w:t>annual</w:t>
            </w:r>
          </w:p>
        </w:tc>
        <w:tc>
          <w:tcPr>
            <w:tcW w:w="1206" w:type="dxa"/>
            <w:vAlign w:val="center"/>
          </w:tcPr>
          <w:p w14:paraId="07799836" w14:textId="77777777" w:rsidR="002A4F32" w:rsidRPr="003C3E22" w:rsidRDefault="002A4F32" w:rsidP="00B953E3">
            <w:pPr>
              <w:jc w:val="center"/>
              <w:rPr>
                <w:sz w:val="21"/>
                <w:szCs w:val="21"/>
              </w:rPr>
            </w:pPr>
            <w:r w:rsidRPr="003C3E22">
              <w:rPr>
                <w:sz w:val="21"/>
                <w:szCs w:val="21"/>
              </w:rPr>
              <w:t>primary and secondary</w:t>
            </w:r>
          </w:p>
        </w:tc>
        <w:tc>
          <w:tcPr>
            <w:tcW w:w="990" w:type="dxa"/>
            <w:tcBorders>
              <w:right w:val="nil"/>
            </w:tcBorders>
            <w:vAlign w:val="center"/>
          </w:tcPr>
          <w:p w14:paraId="5ED0FC7F" w14:textId="77777777" w:rsidR="002A4F32" w:rsidRPr="003C3E22" w:rsidRDefault="002A4F32" w:rsidP="00B953E3">
            <w:pPr>
              <w:jc w:val="center"/>
              <w:rPr>
                <w:sz w:val="21"/>
                <w:szCs w:val="21"/>
              </w:rPr>
            </w:pPr>
            <w:r w:rsidRPr="003C3E22">
              <w:rPr>
                <w:sz w:val="21"/>
                <w:szCs w:val="21"/>
              </w:rPr>
              <w:t>100</w:t>
            </w:r>
          </w:p>
        </w:tc>
        <w:tc>
          <w:tcPr>
            <w:tcW w:w="2716" w:type="dxa"/>
            <w:tcBorders>
              <w:right w:val="nil"/>
            </w:tcBorders>
            <w:vAlign w:val="center"/>
          </w:tcPr>
          <w:p w14:paraId="12738CC6" w14:textId="77777777" w:rsidR="002A4F32" w:rsidRPr="003C3E22" w:rsidRDefault="002A4F32" w:rsidP="00B953E3">
            <w:pPr>
              <w:rPr>
                <w:sz w:val="21"/>
                <w:szCs w:val="21"/>
              </w:rPr>
            </w:pPr>
            <w:r w:rsidRPr="003C3E22">
              <w:rPr>
                <w:sz w:val="21"/>
                <w:szCs w:val="21"/>
              </w:rPr>
              <w:t>Highest first high (H1H) annual average concentration,  each year analyzed separately</w:t>
            </w:r>
          </w:p>
        </w:tc>
        <w:tc>
          <w:tcPr>
            <w:tcW w:w="1595" w:type="dxa"/>
            <w:tcBorders>
              <w:right w:val="single" w:sz="4" w:space="0" w:color="auto"/>
            </w:tcBorders>
          </w:tcPr>
          <w:p w14:paraId="75EC4C56" w14:textId="77777777" w:rsidR="002A4F32" w:rsidRPr="003C3E22" w:rsidRDefault="002A4F32" w:rsidP="00B953E3">
            <w:pPr>
              <w:rPr>
                <w:sz w:val="21"/>
                <w:szCs w:val="21"/>
              </w:rPr>
            </w:pPr>
            <w:r w:rsidRPr="003C3E22">
              <w:rPr>
                <w:sz w:val="21"/>
                <w:szCs w:val="21"/>
              </w:rPr>
              <w:t>40 CFR Appendix W 9.1 (d) 2016</w:t>
            </w:r>
          </w:p>
        </w:tc>
      </w:tr>
      <w:tr w:rsidR="002A4F32" w:rsidRPr="002A4F32" w14:paraId="77E0716A" w14:textId="77777777" w:rsidTr="002A4F32">
        <w:trPr>
          <w:cantSplit/>
          <w:jc w:val="center"/>
        </w:trPr>
        <w:tc>
          <w:tcPr>
            <w:tcW w:w="1028" w:type="dxa"/>
            <w:vMerge w:val="restart"/>
            <w:tcBorders>
              <w:left w:val="single" w:sz="4" w:space="0" w:color="auto"/>
            </w:tcBorders>
            <w:vAlign w:val="center"/>
          </w:tcPr>
          <w:p w14:paraId="08EC74D3" w14:textId="77777777" w:rsidR="002A4F32" w:rsidRPr="003C3E22" w:rsidRDefault="002A4F32" w:rsidP="00B953E3">
            <w:pPr>
              <w:jc w:val="center"/>
              <w:rPr>
                <w:sz w:val="21"/>
                <w:szCs w:val="21"/>
              </w:rPr>
            </w:pPr>
            <w:r w:rsidRPr="003C3E22">
              <w:rPr>
                <w:sz w:val="21"/>
                <w:szCs w:val="21"/>
              </w:rPr>
              <w:t>SO</w:t>
            </w:r>
            <w:r w:rsidRPr="003C3E22">
              <w:rPr>
                <w:sz w:val="21"/>
                <w:szCs w:val="21"/>
                <w:vertAlign w:val="subscript"/>
              </w:rPr>
              <w:t>2</w:t>
            </w:r>
          </w:p>
        </w:tc>
        <w:tc>
          <w:tcPr>
            <w:tcW w:w="1105" w:type="dxa"/>
            <w:gridSpan w:val="2"/>
            <w:vAlign w:val="center"/>
          </w:tcPr>
          <w:p w14:paraId="724A7274" w14:textId="77777777" w:rsidR="002A4F32" w:rsidRPr="003C3E22" w:rsidRDefault="002A4F32" w:rsidP="00B953E3">
            <w:pPr>
              <w:rPr>
                <w:sz w:val="21"/>
                <w:szCs w:val="21"/>
              </w:rPr>
            </w:pPr>
            <w:r w:rsidRPr="003C3E22">
              <w:rPr>
                <w:sz w:val="21"/>
                <w:szCs w:val="21"/>
              </w:rPr>
              <w:t>1-hour</w:t>
            </w:r>
          </w:p>
        </w:tc>
        <w:tc>
          <w:tcPr>
            <w:tcW w:w="1206" w:type="dxa"/>
            <w:vAlign w:val="center"/>
          </w:tcPr>
          <w:p w14:paraId="2D15C800" w14:textId="77777777" w:rsidR="002A4F32" w:rsidRPr="003C3E22" w:rsidRDefault="002A4F32" w:rsidP="00B953E3">
            <w:pPr>
              <w:jc w:val="center"/>
              <w:rPr>
                <w:sz w:val="21"/>
                <w:szCs w:val="21"/>
              </w:rPr>
            </w:pPr>
            <w:r w:rsidRPr="003C3E22">
              <w:rPr>
                <w:sz w:val="21"/>
                <w:szCs w:val="21"/>
              </w:rPr>
              <w:t>primary</w:t>
            </w:r>
          </w:p>
        </w:tc>
        <w:tc>
          <w:tcPr>
            <w:tcW w:w="990" w:type="dxa"/>
            <w:tcBorders>
              <w:right w:val="nil"/>
            </w:tcBorders>
            <w:vAlign w:val="center"/>
          </w:tcPr>
          <w:p w14:paraId="37A66538" w14:textId="77777777" w:rsidR="002A4F32" w:rsidRPr="003C3E22" w:rsidRDefault="002A4F32" w:rsidP="00B953E3">
            <w:pPr>
              <w:jc w:val="center"/>
              <w:rPr>
                <w:sz w:val="21"/>
                <w:szCs w:val="21"/>
              </w:rPr>
            </w:pPr>
            <w:r w:rsidRPr="003C3E22">
              <w:rPr>
                <w:sz w:val="21"/>
                <w:szCs w:val="21"/>
              </w:rPr>
              <w:t>196</w:t>
            </w:r>
          </w:p>
        </w:tc>
        <w:tc>
          <w:tcPr>
            <w:tcW w:w="2716" w:type="dxa"/>
            <w:tcBorders>
              <w:right w:val="nil"/>
            </w:tcBorders>
            <w:vAlign w:val="center"/>
          </w:tcPr>
          <w:p w14:paraId="0585D82F" w14:textId="77777777" w:rsidR="002A4F32" w:rsidRPr="003C3E22" w:rsidRDefault="002A4F32" w:rsidP="00B953E3">
            <w:pPr>
              <w:autoSpaceDE w:val="0"/>
              <w:autoSpaceDN w:val="0"/>
              <w:adjustRightInd w:val="0"/>
              <w:rPr>
                <w:rFonts w:eastAsiaTheme="minorHAnsi"/>
                <w:color w:val="000000"/>
                <w:sz w:val="21"/>
                <w:szCs w:val="21"/>
              </w:rPr>
            </w:pPr>
            <w:r w:rsidRPr="003C3E22">
              <w:rPr>
                <w:rFonts w:eastAsiaTheme="minorHAnsi"/>
                <w:color w:val="000000"/>
                <w:sz w:val="21"/>
                <w:szCs w:val="21"/>
              </w:rPr>
              <w:t>Highest fourth high (H4H) of the 99th percentile of the annual distribution of  maximum daily 1-hour concentrations averaged across five years</w:t>
            </w:r>
          </w:p>
        </w:tc>
        <w:tc>
          <w:tcPr>
            <w:tcW w:w="1595" w:type="dxa"/>
            <w:tcBorders>
              <w:right w:val="single" w:sz="4" w:space="0" w:color="auto"/>
            </w:tcBorders>
          </w:tcPr>
          <w:p w14:paraId="7AC33772" w14:textId="77777777" w:rsidR="002A4F32" w:rsidRPr="003C3E22" w:rsidRDefault="002A4F32" w:rsidP="00B953E3">
            <w:pPr>
              <w:autoSpaceDE w:val="0"/>
              <w:autoSpaceDN w:val="0"/>
              <w:adjustRightInd w:val="0"/>
              <w:rPr>
                <w:color w:val="000000"/>
                <w:sz w:val="21"/>
                <w:szCs w:val="21"/>
              </w:rPr>
            </w:pPr>
            <w:r w:rsidRPr="003C3E22">
              <w:rPr>
                <w:sz w:val="21"/>
                <w:szCs w:val="21"/>
              </w:rPr>
              <w:t>U.S. EPA MCHM,</w:t>
            </w:r>
            <w:r w:rsidRPr="003C3E22">
              <w:rPr>
                <w:color w:val="000000"/>
                <w:sz w:val="21"/>
                <w:szCs w:val="21"/>
              </w:rPr>
              <w:t xml:space="preserve"> August 23, 2010. </w:t>
            </w:r>
          </w:p>
          <w:p w14:paraId="2E330F58" w14:textId="77777777" w:rsidR="002A4F32" w:rsidRPr="003C3E22" w:rsidRDefault="002A4F32" w:rsidP="00B953E3">
            <w:pPr>
              <w:rPr>
                <w:sz w:val="21"/>
                <w:szCs w:val="21"/>
              </w:rPr>
            </w:pPr>
          </w:p>
        </w:tc>
      </w:tr>
      <w:tr w:rsidR="002A4F32" w:rsidRPr="002A4F32" w14:paraId="0A7CFC43" w14:textId="77777777" w:rsidTr="002A4F32">
        <w:trPr>
          <w:cantSplit/>
          <w:jc w:val="center"/>
        </w:trPr>
        <w:tc>
          <w:tcPr>
            <w:tcW w:w="1028" w:type="dxa"/>
            <w:vMerge/>
            <w:tcBorders>
              <w:left w:val="single" w:sz="4" w:space="0" w:color="auto"/>
            </w:tcBorders>
            <w:vAlign w:val="center"/>
          </w:tcPr>
          <w:p w14:paraId="786BF687" w14:textId="77777777" w:rsidR="002A4F32" w:rsidRPr="003C3E22" w:rsidRDefault="002A4F32" w:rsidP="00B953E3">
            <w:pPr>
              <w:jc w:val="center"/>
              <w:rPr>
                <w:sz w:val="21"/>
                <w:szCs w:val="21"/>
              </w:rPr>
            </w:pPr>
          </w:p>
        </w:tc>
        <w:tc>
          <w:tcPr>
            <w:tcW w:w="1105" w:type="dxa"/>
            <w:gridSpan w:val="2"/>
            <w:vAlign w:val="center"/>
          </w:tcPr>
          <w:p w14:paraId="60DD7F2B" w14:textId="77777777" w:rsidR="002A4F32" w:rsidRPr="003C3E22" w:rsidRDefault="002A4F32" w:rsidP="00B953E3">
            <w:pPr>
              <w:rPr>
                <w:sz w:val="21"/>
                <w:szCs w:val="21"/>
              </w:rPr>
            </w:pPr>
            <w:r w:rsidRPr="003C3E22">
              <w:rPr>
                <w:sz w:val="21"/>
                <w:szCs w:val="21"/>
              </w:rPr>
              <w:t>3-hour</w:t>
            </w:r>
          </w:p>
        </w:tc>
        <w:tc>
          <w:tcPr>
            <w:tcW w:w="1206" w:type="dxa"/>
            <w:vAlign w:val="center"/>
          </w:tcPr>
          <w:p w14:paraId="2C6484A4" w14:textId="77777777" w:rsidR="002A4F32" w:rsidRPr="003C3E22" w:rsidRDefault="002A4F32" w:rsidP="00B953E3">
            <w:pPr>
              <w:jc w:val="center"/>
              <w:rPr>
                <w:sz w:val="21"/>
                <w:szCs w:val="21"/>
              </w:rPr>
            </w:pPr>
            <w:r w:rsidRPr="003C3E22">
              <w:rPr>
                <w:sz w:val="21"/>
                <w:szCs w:val="21"/>
              </w:rPr>
              <w:t>secondary</w:t>
            </w:r>
          </w:p>
        </w:tc>
        <w:tc>
          <w:tcPr>
            <w:tcW w:w="990" w:type="dxa"/>
            <w:tcBorders>
              <w:right w:val="nil"/>
            </w:tcBorders>
            <w:vAlign w:val="center"/>
          </w:tcPr>
          <w:p w14:paraId="27415043" w14:textId="77777777" w:rsidR="002A4F32" w:rsidRPr="003C3E22" w:rsidRDefault="002A4F32" w:rsidP="00B953E3">
            <w:pPr>
              <w:jc w:val="center"/>
              <w:rPr>
                <w:sz w:val="21"/>
                <w:szCs w:val="21"/>
              </w:rPr>
            </w:pPr>
            <w:r w:rsidRPr="003C3E22">
              <w:rPr>
                <w:sz w:val="21"/>
                <w:szCs w:val="21"/>
              </w:rPr>
              <w:t>1300</w:t>
            </w:r>
          </w:p>
        </w:tc>
        <w:tc>
          <w:tcPr>
            <w:tcW w:w="2716" w:type="dxa"/>
            <w:tcBorders>
              <w:right w:val="nil"/>
            </w:tcBorders>
            <w:vAlign w:val="center"/>
          </w:tcPr>
          <w:p w14:paraId="0FB0D529" w14:textId="77777777" w:rsidR="002A4F32" w:rsidRPr="003C3E22" w:rsidRDefault="002A4F32" w:rsidP="00B953E3">
            <w:pPr>
              <w:rPr>
                <w:sz w:val="21"/>
                <w:szCs w:val="21"/>
              </w:rPr>
            </w:pPr>
            <w:r w:rsidRPr="003C3E22">
              <w:rPr>
                <w:sz w:val="21"/>
                <w:szCs w:val="21"/>
              </w:rPr>
              <w:t>Highest second high (H2H) concentration , each year analyzed separately</w:t>
            </w:r>
          </w:p>
        </w:tc>
        <w:tc>
          <w:tcPr>
            <w:tcW w:w="1595" w:type="dxa"/>
            <w:tcBorders>
              <w:right w:val="single" w:sz="4" w:space="0" w:color="auto"/>
            </w:tcBorders>
          </w:tcPr>
          <w:p w14:paraId="0DEE4FED" w14:textId="77777777" w:rsidR="002A4F32" w:rsidRPr="003C3E22" w:rsidRDefault="002A4F32" w:rsidP="00B953E3">
            <w:pPr>
              <w:rPr>
                <w:sz w:val="21"/>
                <w:szCs w:val="21"/>
              </w:rPr>
            </w:pPr>
            <w:r w:rsidRPr="003C3E22">
              <w:rPr>
                <w:sz w:val="21"/>
                <w:szCs w:val="21"/>
              </w:rPr>
              <w:t>40 CFR Appendix W 9.1 (d) 2016</w:t>
            </w:r>
          </w:p>
        </w:tc>
      </w:tr>
      <w:tr w:rsidR="002A4F32" w:rsidRPr="002A4F32" w14:paraId="5029E98E" w14:textId="77777777" w:rsidTr="002A4F32">
        <w:trPr>
          <w:cantSplit/>
          <w:jc w:val="center"/>
        </w:trPr>
        <w:tc>
          <w:tcPr>
            <w:tcW w:w="1028" w:type="dxa"/>
            <w:tcBorders>
              <w:left w:val="single" w:sz="4" w:space="0" w:color="auto"/>
            </w:tcBorders>
            <w:vAlign w:val="center"/>
          </w:tcPr>
          <w:p w14:paraId="77E63C8D" w14:textId="77777777" w:rsidR="002A4F32" w:rsidRPr="003C3E22" w:rsidRDefault="002A4F32" w:rsidP="00B953E3">
            <w:pPr>
              <w:jc w:val="center"/>
              <w:rPr>
                <w:sz w:val="21"/>
                <w:szCs w:val="21"/>
              </w:rPr>
            </w:pPr>
            <w:r w:rsidRPr="003C3E22">
              <w:rPr>
                <w:sz w:val="21"/>
                <w:szCs w:val="21"/>
              </w:rPr>
              <w:t>PM</w:t>
            </w:r>
            <w:r w:rsidRPr="003C3E22">
              <w:rPr>
                <w:sz w:val="21"/>
                <w:szCs w:val="21"/>
                <w:vertAlign w:val="subscript"/>
              </w:rPr>
              <w:t>10</w:t>
            </w:r>
          </w:p>
        </w:tc>
        <w:tc>
          <w:tcPr>
            <w:tcW w:w="1105" w:type="dxa"/>
            <w:gridSpan w:val="2"/>
            <w:vAlign w:val="center"/>
          </w:tcPr>
          <w:p w14:paraId="56ADDF7D" w14:textId="77777777" w:rsidR="002A4F32" w:rsidRPr="003C3E22" w:rsidRDefault="002A4F32" w:rsidP="00B953E3">
            <w:pPr>
              <w:rPr>
                <w:sz w:val="21"/>
                <w:szCs w:val="21"/>
              </w:rPr>
            </w:pPr>
            <w:r w:rsidRPr="003C3E22">
              <w:rPr>
                <w:sz w:val="21"/>
                <w:szCs w:val="21"/>
              </w:rPr>
              <w:t>24-hour</w:t>
            </w:r>
          </w:p>
        </w:tc>
        <w:tc>
          <w:tcPr>
            <w:tcW w:w="1206" w:type="dxa"/>
            <w:vAlign w:val="center"/>
          </w:tcPr>
          <w:p w14:paraId="67639866" w14:textId="77777777" w:rsidR="002A4F32" w:rsidRPr="003C3E22" w:rsidRDefault="002A4F32" w:rsidP="00B953E3">
            <w:pPr>
              <w:jc w:val="center"/>
              <w:rPr>
                <w:sz w:val="21"/>
                <w:szCs w:val="21"/>
              </w:rPr>
            </w:pPr>
            <w:r w:rsidRPr="003C3E22">
              <w:rPr>
                <w:sz w:val="21"/>
                <w:szCs w:val="21"/>
              </w:rPr>
              <w:t>primary and secondary</w:t>
            </w:r>
          </w:p>
        </w:tc>
        <w:tc>
          <w:tcPr>
            <w:tcW w:w="990" w:type="dxa"/>
            <w:tcBorders>
              <w:right w:val="nil"/>
            </w:tcBorders>
            <w:vAlign w:val="center"/>
          </w:tcPr>
          <w:p w14:paraId="72DA60A9" w14:textId="77777777" w:rsidR="002A4F32" w:rsidRPr="003C3E22" w:rsidRDefault="002A4F32" w:rsidP="00B953E3">
            <w:pPr>
              <w:jc w:val="center"/>
              <w:rPr>
                <w:sz w:val="21"/>
                <w:szCs w:val="21"/>
              </w:rPr>
            </w:pPr>
            <w:r w:rsidRPr="003C3E22">
              <w:rPr>
                <w:sz w:val="21"/>
                <w:szCs w:val="21"/>
              </w:rPr>
              <w:t>150</w:t>
            </w:r>
          </w:p>
        </w:tc>
        <w:tc>
          <w:tcPr>
            <w:tcW w:w="2716" w:type="dxa"/>
            <w:tcBorders>
              <w:right w:val="nil"/>
            </w:tcBorders>
            <w:vAlign w:val="center"/>
          </w:tcPr>
          <w:p w14:paraId="3EBB2AE8" w14:textId="77777777" w:rsidR="002A4F32" w:rsidRPr="003C3E22" w:rsidRDefault="002A4F32" w:rsidP="00B953E3">
            <w:pPr>
              <w:rPr>
                <w:sz w:val="21"/>
                <w:szCs w:val="21"/>
              </w:rPr>
            </w:pPr>
            <w:r w:rsidRPr="003C3E22">
              <w:rPr>
                <w:sz w:val="21"/>
                <w:szCs w:val="21"/>
              </w:rPr>
              <w:t>Highest 6th high (H6H)  concentration for the five years modeled (and, in general, when n years are modeled, the (n+1)</w:t>
            </w:r>
            <w:proofErr w:type="spellStart"/>
            <w:r w:rsidRPr="003C3E22">
              <w:rPr>
                <w:sz w:val="21"/>
                <w:szCs w:val="21"/>
              </w:rPr>
              <w:t>th</w:t>
            </w:r>
            <w:proofErr w:type="spellEnd"/>
            <w:r w:rsidRPr="003C3E22">
              <w:rPr>
                <w:sz w:val="21"/>
                <w:szCs w:val="21"/>
              </w:rPr>
              <w:t xml:space="preserve"> highest concentration over the n-year period))</w:t>
            </w:r>
          </w:p>
        </w:tc>
        <w:tc>
          <w:tcPr>
            <w:tcW w:w="1595" w:type="dxa"/>
            <w:tcBorders>
              <w:bottom w:val="single" w:sz="4" w:space="0" w:color="auto"/>
              <w:right w:val="single" w:sz="4" w:space="0" w:color="auto"/>
            </w:tcBorders>
          </w:tcPr>
          <w:p w14:paraId="2D69D555" w14:textId="77777777" w:rsidR="002A4F32" w:rsidRPr="003C3E22" w:rsidRDefault="002A4F32" w:rsidP="00B953E3">
            <w:pPr>
              <w:rPr>
                <w:sz w:val="21"/>
                <w:szCs w:val="21"/>
              </w:rPr>
            </w:pPr>
            <w:r w:rsidRPr="003C3E22">
              <w:rPr>
                <w:sz w:val="21"/>
                <w:szCs w:val="21"/>
              </w:rPr>
              <w:t>40 CFR Appendix W 7.2.1 (U.S. EPA, 2005)</w:t>
            </w:r>
            <w:r w:rsidRPr="003C3E22">
              <w:rPr>
                <w:sz w:val="21"/>
                <w:szCs w:val="21"/>
                <w:vertAlign w:val="superscript"/>
              </w:rPr>
              <w:t xml:space="preserve"> </w:t>
            </w:r>
          </w:p>
        </w:tc>
      </w:tr>
      <w:tr w:rsidR="002A4F32" w:rsidRPr="002A4F32" w14:paraId="4A409D08" w14:textId="77777777" w:rsidTr="002A4F32">
        <w:trPr>
          <w:cantSplit/>
          <w:jc w:val="center"/>
        </w:trPr>
        <w:tc>
          <w:tcPr>
            <w:tcW w:w="1028" w:type="dxa"/>
            <w:vMerge w:val="restart"/>
            <w:tcBorders>
              <w:left w:val="single" w:sz="4" w:space="0" w:color="auto"/>
            </w:tcBorders>
            <w:vAlign w:val="center"/>
          </w:tcPr>
          <w:p w14:paraId="72F1D7F5" w14:textId="77777777" w:rsidR="002A4F32" w:rsidRPr="003C3E22" w:rsidRDefault="002A4F32" w:rsidP="00B953E3">
            <w:pPr>
              <w:jc w:val="center"/>
              <w:rPr>
                <w:sz w:val="21"/>
                <w:szCs w:val="21"/>
              </w:rPr>
            </w:pPr>
            <w:r w:rsidRPr="003C3E22">
              <w:rPr>
                <w:sz w:val="21"/>
                <w:szCs w:val="21"/>
              </w:rPr>
              <w:t>PM</w:t>
            </w:r>
            <w:r w:rsidRPr="003C3E22">
              <w:rPr>
                <w:sz w:val="21"/>
                <w:szCs w:val="21"/>
                <w:vertAlign w:val="subscript"/>
              </w:rPr>
              <w:t>2.5</w:t>
            </w:r>
          </w:p>
        </w:tc>
        <w:tc>
          <w:tcPr>
            <w:tcW w:w="1105" w:type="dxa"/>
            <w:gridSpan w:val="2"/>
            <w:vAlign w:val="center"/>
          </w:tcPr>
          <w:p w14:paraId="42F6B702" w14:textId="77777777" w:rsidR="002A4F32" w:rsidRPr="003C3E22" w:rsidRDefault="002A4F32" w:rsidP="00B953E3">
            <w:pPr>
              <w:rPr>
                <w:sz w:val="21"/>
                <w:szCs w:val="21"/>
              </w:rPr>
            </w:pPr>
            <w:r w:rsidRPr="003C3E22">
              <w:rPr>
                <w:sz w:val="21"/>
                <w:szCs w:val="21"/>
              </w:rPr>
              <w:t>24-hour</w:t>
            </w:r>
          </w:p>
        </w:tc>
        <w:tc>
          <w:tcPr>
            <w:tcW w:w="1206" w:type="dxa"/>
            <w:vAlign w:val="center"/>
          </w:tcPr>
          <w:p w14:paraId="0DD79BE0" w14:textId="77777777" w:rsidR="002A4F32" w:rsidRPr="003C3E22" w:rsidRDefault="002A4F32" w:rsidP="00B953E3">
            <w:pPr>
              <w:jc w:val="center"/>
              <w:rPr>
                <w:sz w:val="21"/>
                <w:szCs w:val="21"/>
              </w:rPr>
            </w:pPr>
            <w:r w:rsidRPr="003C3E22">
              <w:rPr>
                <w:sz w:val="21"/>
                <w:szCs w:val="21"/>
              </w:rPr>
              <w:t>primary</w:t>
            </w:r>
          </w:p>
        </w:tc>
        <w:tc>
          <w:tcPr>
            <w:tcW w:w="990" w:type="dxa"/>
            <w:tcBorders>
              <w:right w:val="nil"/>
            </w:tcBorders>
            <w:vAlign w:val="center"/>
          </w:tcPr>
          <w:p w14:paraId="2383932E" w14:textId="77777777" w:rsidR="002A4F32" w:rsidRPr="003C3E22" w:rsidRDefault="002A4F32" w:rsidP="00B953E3">
            <w:pPr>
              <w:jc w:val="center"/>
              <w:rPr>
                <w:sz w:val="21"/>
                <w:szCs w:val="21"/>
              </w:rPr>
            </w:pPr>
            <w:r w:rsidRPr="003C3E22">
              <w:rPr>
                <w:sz w:val="21"/>
                <w:szCs w:val="21"/>
              </w:rPr>
              <w:t>35</w:t>
            </w:r>
          </w:p>
        </w:tc>
        <w:tc>
          <w:tcPr>
            <w:tcW w:w="2716" w:type="dxa"/>
            <w:tcBorders>
              <w:right w:val="nil"/>
            </w:tcBorders>
            <w:vAlign w:val="center"/>
          </w:tcPr>
          <w:p w14:paraId="09B20509" w14:textId="77777777" w:rsidR="002A4F32" w:rsidRPr="003C3E22" w:rsidRDefault="002A4F32" w:rsidP="00B953E3">
            <w:pPr>
              <w:rPr>
                <w:sz w:val="21"/>
                <w:szCs w:val="21"/>
              </w:rPr>
            </w:pPr>
            <w:r w:rsidRPr="003C3E22">
              <w:rPr>
                <w:sz w:val="21"/>
                <w:szCs w:val="21"/>
              </w:rPr>
              <w:t>Highest 8th high (H8H) of the 9</w:t>
            </w:r>
            <w:r w:rsidRPr="003C3E22">
              <w:rPr>
                <w:b/>
                <w:sz w:val="21"/>
                <w:szCs w:val="21"/>
              </w:rPr>
              <w:t>8</w:t>
            </w:r>
            <w:r w:rsidRPr="003C3E22">
              <w:rPr>
                <w:sz w:val="21"/>
                <w:szCs w:val="21"/>
              </w:rPr>
              <w:t xml:space="preserve">th percentile </w:t>
            </w:r>
            <w:r w:rsidRPr="003C3E22">
              <w:rPr>
                <w:rFonts w:eastAsiaTheme="minorHAnsi"/>
                <w:color w:val="000000"/>
                <w:sz w:val="21"/>
                <w:szCs w:val="21"/>
              </w:rPr>
              <w:t>of the annual distribution of  24 hour concentrations, averaged over</w:t>
            </w:r>
            <w:r w:rsidRPr="003C3E22">
              <w:rPr>
                <w:sz w:val="21"/>
                <w:szCs w:val="21"/>
              </w:rPr>
              <w:t xml:space="preserve"> 5 years</w:t>
            </w:r>
          </w:p>
        </w:tc>
        <w:tc>
          <w:tcPr>
            <w:tcW w:w="1595" w:type="dxa"/>
            <w:tcBorders>
              <w:right w:val="single" w:sz="4" w:space="0" w:color="auto"/>
            </w:tcBorders>
          </w:tcPr>
          <w:p w14:paraId="0D77DC06" w14:textId="77777777" w:rsidR="002A4F32" w:rsidRPr="003C3E22" w:rsidRDefault="002A4F32" w:rsidP="00B953E3">
            <w:pPr>
              <w:autoSpaceDE w:val="0"/>
              <w:autoSpaceDN w:val="0"/>
              <w:adjustRightInd w:val="0"/>
              <w:rPr>
                <w:sz w:val="21"/>
                <w:szCs w:val="21"/>
              </w:rPr>
            </w:pPr>
            <w:r w:rsidRPr="003C3E22">
              <w:rPr>
                <w:sz w:val="21"/>
                <w:szCs w:val="21"/>
              </w:rPr>
              <w:t>U.S. EPA MCHM,</w:t>
            </w:r>
            <w:r w:rsidRPr="003C3E22">
              <w:rPr>
                <w:color w:val="000000"/>
                <w:sz w:val="21"/>
                <w:szCs w:val="21"/>
              </w:rPr>
              <w:t xml:space="preserve"> March 4, 2013 </w:t>
            </w:r>
          </w:p>
        </w:tc>
      </w:tr>
      <w:tr w:rsidR="002A4F32" w:rsidRPr="002A4F32" w14:paraId="1194BC33" w14:textId="77777777" w:rsidTr="002A4F32">
        <w:trPr>
          <w:cantSplit/>
          <w:jc w:val="center"/>
        </w:trPr>
        <w:tc>
          <w:tcPr>
            <w:tcW w:w="1028" w:type="dxa"/>
            <w:vMerge/>
            <w:tcBorders>
              <w:left w:val="single" w:sz="4" w:space="0" w:color="auto"/>
            </w:tcBorders>
            <w:vAlign w:val="center"/>
          </w:tcPr>
          <w:p w14:paraId="2BD5275B" w14:textId="77777777" w:rsidR="002A4F32" w:rsidRPr="003C3E22" w:rsidRDefault="002A4F32" w:rsidP="00B953E3">
            <w:pPr>
              <w:jc w:val="center"/>
              <w:rPr>
                <w:sz w:val="21"/>
                <w:szCs w:val="21"/>
              </w:rPr>
            </w:pPr>
          </w:p>
        </w:tc>
        <w:tc>
          <w:tcPr>
            <w:tcW w:w="1105" w:type="dxa"/>
            <w:gridSpan w:val="2"/>
            <w:vAlign w:val="center"/>
          </w:tcPr>
          <w:p w14:paraId="2B5393AB" w14:textId="77777777" w:rsidR="002A4F32" w:rsidRPr="003C3E22" w:rsidRDefault="002A4F32" w:rsidP="00B953E3">
            <w:pPr>
              <w:rPr>
                <w:sz w:val="21"/>
                <w:szCs w:val="21"/>
              </w:rPr>
            </w:pPr>
            <w:r w:rsidRPr="003C3E22">
              <w:rPr>
                <w:sz w:val="21"/>
                <w:szCs w:val="21"/>
              </w:rPr>
              <w:t>Annual</w:t>
            </w:r>
          </w:p>
        </w:tc>
        <w:tc>
          <w:tcPr>
            <w:tcW w:w="1206" w:type="dxa"/>
            <w:vAlign w:val="center"/>
          </w:tcPr>
          <w:p w14:paraId="4054D725" w14:textId="77777777" w:rsidR="002A4F32" w:rsidRPr="003C3E22" w:rsidRDefault="002A4F32" w:rsidP="00B953E3">
            <w:pPr>
              <w:jc w:val="center"/>
              <w:rPr>
                <w:sz w:val="21"/>
                <w:szCs w:val="21"/>
              </w:rPr>
            </w:pPr>
            <w:r w:rsidRPr="003C3E22">
              <w:rPr>
                <w:sz w:val="21"/>
                <w:szCs w:val="21"/>
              </w:rPr>
              <w:t>primary</w:t>
            </w:r>
          </w:p>
        </w:tc>
        <w:tc>
          <w:tcPr>
            <w:tcW w:w="990" w:type="dxa"/>
            <w:tcBorders>
              <w:right w:val="nil"/>
            </w:tcBorders>
            <w:vAlign w:val="center"/>
          </w:tcPr>
          <w:p w14:paraId="11CE7FFC" w14:textId="77777777" w:rsidR="002A4F32" w:rsidRPr="003C3E22" w:rsidRDefault="002A4F32" w:rsidP="00B953E3">
            <w:pPr>
              <w:jc w:val="center"/>
              <w:rPr>
                <w:sz w:val="21"/>
                <w:szCs w:val="21"/>
              </w:rPr>
            </w:pPr>
            <w:r w:rsidRPr="003C3E22">
              <w:rPr>
                <w:sz w:val="21"/>
                <w:szCs w:val="21"/>
              </w:rPr>
              <w:t>12.0</w:t>
            </w:r>
          </w:p>
        </w:tc>
        <w:tc>
          <w:tcPr>
            <w:tcW w:w="2716" w:type="dxa"/>
            <w:tcBorders>
              <w:right w:val="nil"/>
            </w:tcBorders>
            <w:vAlign w:val="center"/>
          </w:tcPr>
          <w:p w14:paraId="3A109C59" w14:textId="77777777" w:rsidR="002A4F32" w:rsidRPr="003C3E22" w:rsidRDefault="002A4F32" w:rsidP="00B953E3">
            <w:pPr>
              <w:rPr>
                <w:sz w:val="21"/>
                <w:szCs w:val="21"/>
              </w:rPr>
            </w:pPr>
            <w:r w:rsidRPr="003C3E22">
              <w:rPr>
                <w:sz w:val="21"/>
                <w:szCs w:val="21"/>
              </w:rPr>
              <w:t>Highest first high (H1H) of the modeled annual averages, averaged over 5 years</w:t>
            </w:r>
          </w:p>
        </w:tc>
        <w:tc>
          <w:tcPr>
            <w:tcW w:w="1595" w:type="dxa"/>
            <w:tcBorders>
              <w:right w:val="single" w:sz="4" w:space="0" w:color="auto"/>
            </w:tcBorders>
          </w:tcPr>
          <w:p w14:paraId="2A4AC5D8" w14:textId="77777777" w:rsidR="002A4F32" w:rsidRPr="003C3E22" w:rsidRDefault="002A4F32" w:rsidP="00B953E3">
            <w:pPr>
              <w:autoSpaceDE w:val="0"/>
              <w:autoSpaceDN w:val="0"/>
              <w:adjustRightInd w:val="0"/>
              <w:rPr>
                <w:sz w:val="21"/>
                <w:szCs w:val="21"/>
              </w:rPr>
            </w:pPr>
            <w:r w:rsidRPr="003C3E22">
              <w:rPr>
                <w:sz w:val="21"/>
                <w:szCs w:val="21"/>
              </w:rPr>
              <w:t>U.S. EPA MCHM,</w:t>
            </w:r>
            <w:r w:rsidRPr="003C3E22">
              <w:rPr>
                <w:color w:val="000000"/>
                <w:sz w:val="21"/>
                <w:szCs w:val="21"/>
              </w:rPr>
              <w:t xml:space="preserve"> March 4, 2013 </w:t>
            </w:r>
          </w:p>
        </w:tc>
      </w:tr>
      <w:tr w:rsidR="002A4F32" w:rsidRPr="002A4F32" w14:paraId="6C6DF07C" w14:textId="77777777" w:rsidTr="002A4F32">
        <w:trPr>
          <w:cantSplit/>
          <w:jc w:val="center"/>
        </w:trPr>
        <w:tc>
          <w:tcPr>
            <w:tcW w:w="1028" w:type="dxa"/>
            <w:vMerge/>
            <w:tcBorders>
              <w:left w:val="single" w:sz="4" w:space="0" w:color="auto"/>
            </w:tcBorders>
            <w:vAlign w:val="center"/>
          </w:tcPr>
          <w:p w14:paraId="1204A402" w14:textId="77777777" w:rsidR="002A4F32" w:rsidRPr="003C3E22" w:rsidRDefault="002A4F32" w:rsidP="00B953E3">
            <w:pPr>
              <w:jc w:val="center"/>
              <w:rPr>
                <w:sz w:val="21"/>
                <w:szCs w:val="21"/>
              </w:rPr>
            </w:pPr>
          </w:p>
        </w:tc>
        <w:tc>
          <w:tcPr>
            <w:tcW w:w="1105" w:type="dxa"/>
            <w:gridSpan w:val="2"/>
            <w:vAlign w:val="center"/>
          </w:tcPr>
          <w:p w14:paraId="57148C09" w14:textId="77777777" w:rsidR="002A4F32" w:rsidRPr="003C3E22" w:rsidRDefault="002A4F32" w:rsidP="00B953E3">
            <w:pPr>
              <w:rPr>
                <w:sz w:val="21"/>
                <w:szCs w:val="21"/>
              </w:rPr>
            </w:pPr>
            <w:r w:rsidRPr="003C3E22">
              <w:rPr>
                <w:sz w:val="21"/>
                <w:szCs w:val="21"/>
              </w:rPr>
              <w:t>Annual</w:t>
            </w:r>
          </w:p>
        </w:tc>
        <w:tc>
          <w:tcPr>
            <w:tcW w:w="1206" w:type="dxa"/>
            <w:vAlign w:val="center"/>
          </w:tcPr>
          <w:p w14:paraId="4A4D0EA9" w14:textId="77777777" w:rsidR="002A4F32" w:rsidRPr="003C3E22" w:rsidRDefault="002A4F32" w:rsidP="00B953E3">
            <w:pPr>
              <w:jc w:val="center"/>
              <w:rPr>
                <w:sz w:val="21"/>
                <w:szCs w:val="21"/>
              </w:rPr>
            </w:pPr>
            <w:r w:rsidRPr="003C3E22">
              <w:rPr>
                <w:sz w:val="21"/>
                <w:szCs w:val="21"/>
              </w:rPr>
              <w:t>secondary</w:t>
            </w:r>
          </w:p>
        </w:tc>
        <w:tc>
          <w:tcPr>
            <w:tcW w:w="990" w:type="dxa"/>
            <w:tcBorders>
              <w:right w:val="nil"/>
            </w:tcBorders>
            <w:vAlign w:val="center"/>
          </w:tcPr>
          <w:p w14:paraId="093837A0" w14:textId="77777777" w:rsidR="002A4F32" w:rsidRPr="003C3E22" w:rsidRDefault="002A4F32" w:rsidP="00B953E3">
            <w:pPr>
              <w:jc w:val="center"/>
              <w:rPr>
                <w:sz w:val="21"/>
                <w:szCs w:val="21"/>
              </w:rPr>
            </w:pPr>
            <w:r w:rsidRPr="003C3E22">
              <w:rPr>
                <w:sz w:val="21"/>
                <w:szCs w:val="21"/>
              </w:rPr>
              <w:t>15.0</w:t>
            </w:r>
          </w:p>
        </w:tc>
        <w:tc>
          <w:tcPr>
            <w:tcW w:w="2716" w:type="dxa"/>
            <w:tcBorders>
              <w:right w:val="nil"/>
            </w:tcBorders>
            <w:vAlign w:val="center"/>
          </w:tcPr>
          <w:p w14:paraId="4CBA9A84" w14:textId="77777777" w:rsidR="002A4F32" w:rsidRPr="003C3E22" w:rsidRDefault="002A4F32" w:rsidP="00B953E3">
            <w:pPr>
              <w:rPr>
                <w:sz w:val="21"/>
                <w:szCs w:val="21"/>
              </w:rPr>
            </w:pPr>
            <w:r w:rsidRPr="003C3E22">
              <w:rPr>
                <w:sz w:val="21"/>
                <w:szCs w:val="21"/>
              </w:rPr>
              <w:t>Highest first high (H1H) of the modeled annual averages, averaged over 5 years</w:t>
            </w:r>
          </w:p>
        </w:tc>
        <w:tc>
          <w:tcPr>
            <w:tcW w:w="1595" w:type="dxa"/>
            <w:tcBorders>
              <w:right w:val="single" w:sz="4" w:space="0" w:color="auto"/>
            </w:tcBorders>
          </w:tcPr>
          <w:p w14:paraId="2DC685EF" w14:textId="77777777" w:rsidR="002A4F32" w:rsidRPr="003C3E22" w:rsidRDefault="002A4F32" w:rsidP="00B953E3">
            <w:pPr>
              <w:autoSpaceDE w:val="0"/>
              <w:autoSpaceDN w:val="0"/>
              <w:adjustRightInd w:val="0"/>
              <w:rPr>
                <w:color w:val="000000"/>
                <w:sz w:val="21"/>
                <w:szCs w:val="21"/>
              </w:rPr>
            </w:pPr>
            <w:r w:rsidRPr="003C3E22">
              <w:rPr>
                <w:sz w:val="21"/>
                <w:szCs w:val="21"/>
              </w:rPr>
              <w:t>U.S. EPA MCHM,</w:t>
            </w:r>
            <w:r w:rsidRPr="003C3E22">
              <w:rPr>
                <w:color w:val="000000"/>
                <w:sz w:val="21"/>
                <w:szCs w:val="21"/>
              </w:rPr>
              <w:t xml:space="preserve"> March 4, 2013 </w:t>
            </w:r>
          </w:p>
          <w:p w14:paraId="340CDC58" w14:textId="77777777" w:rsidR="002A4F32" w:rsidRPr="003C3E22" w:rsidRDefault="002A4F32" w:rsidP="00B953E3">
            <w:pPr>
              <w:rPr>
                <w:sz w:val="21"/>
                <w:szCs w:val="21"/>
              </w:rPr>
            </w:pPr>
          </w:p>
        </w:tc>
      </w:tr>
      <w:tr w:rsidR="002A4F32" w:rsidRPr="002A4F32" w14:paraId="1B72CF07" w14:textId="77777777" w:rsidTr="002A4F32">
        <w:trPr>
          <w:cantSplit/>
          <w:jc w:val="center"/>
        </w:trPr>
        <w:tc>
          <w:tcPr>
            <w:tcW w:w="1028" w:type="dxa"/>
            <w:tcBorders>
              <w:left w:val="single" w:sz="4" w:space="0" w:color="auto"/>
            </w:tcBorders>
            <w:vAlign w:val="center"/>
          </w:tcPr>
          <w:p w14:paraId="50AFC10D" w14:textId="77777777" w:rsidR="002A4F32" w:rsidRPr="003C3E22" w:rsidRDefault="002A4F32" w:rsidP="00B953E3">
            <w:pPr>
              <w:jc w:val="center"/>
              <w:rPr>
                <w:sz w:val="21"/>
                <w:szCs w:val="21"/>
              </w:rPr>
            </w:pPr>
            <w:r w:rsidRPr="003C3E22">
              <w:rPr>
                <w:sz w:val="21"/>
                <w:szCs w:val="21"/>
              </w:rPr>
              <w:t>Pb</w:t>
            </w:r>
          </w:p>
        </w:tc>
        <w:tc>
          <w:tcPr>
            <w:tcW w:w="1105" w:type="dxa"/>
            <w:gridSpan w:val="2"/>
            <w:vAlign w:val="center"/>
          </w:tcPr>
          <w:p w14:paraId="018E013E" w14:textId="77777777" w:rsidR="002A4F32" w:rsidRPr="003C3E22" w:rsidRDefault="002A4F32" w:rsidP="00B953E3">
            <w:pPr>
              <w:rPr>
                <w:sz w:val="21"/>
                <w:szCs w:val="21"/>
              </w:rPr>
            </w:pPr>
            <w:r w:rsidRPr="003C3E22">
              <w:rPr>
                <w:sz w:val="21"/>
                <w:szCs w:val="21"/>
              </w:rPr>
              <w:t>Rolling 3 month average</w:t>
            </w:r>
          </w:p>
        </w:tc>
        <w:tc>
          <w:tcPr>
            <w:tcW w:w="1206" w:type="dxa"/>
            <w:vAlign w:val="center"/>
          </w:tcPr>
          <w:p w14:paraId="3FD2621E" w14:textId="77777777" w:rsidR="002A4F32" w:rsidRPr="003C3E22" w:rsidRDefault="002A4F32" w:rsidP="00B953E3">
            <w:pPr>
              <w:jc w:val="center"/>
              <w:rPr>
                <w:sz w:val="21"/>
                <w:szCs w:val="21"/>
              </w:rPr>
            </w:pPr>
            <w:r w:rsidRPr="003C3E22">
              <w:rPr>
                <w:sz w:val="21"/>
                <w:szCs w:val="21"/>
              </w:rPr>
              <w:t>primary and secondary</w:t>
            </w:r>
          </w:p>
        </w:tc>
        <w:tc>
          <w:tcPr>
            <w:tcW w:w="990" w:type="dxa"/>
            <w:tcBorders>
              <w:right w:val="nil"/>
            </w:tcBorders>
            <w:vAlign w:val="center"/>
          </w:tcPr>
          <w:p w14:paraId="050AF464" w14:textId="77777777" w:rsidR="002A4F32" w:rsidRPr="003C3E22" w:rsidRDefault="002A4F32" w:rsidP="00B953E3">
            <w:pPr>
              <w:jc w:val="center"/>
              <w:rPr>
                <w:sz w:val="21"/>
                <w:szCs w:val="21"/>
              </w:rPr>
            </w:pPr>
            <w:r w:rsidRPr="003C3E22">
              <w:rPr>
                <w:sz w:val="21"/>
                <w:szCs w:val="21"/>
              </w:rPr>
              <w:t>0.15</w:t>
            </w:r>
          </w:p>
        </w:tc>
        <w:tc>
          <w:tcPr>
            <w:tcW w:w="2716" w:type="dxa"/>
            <w:tcBorders>
              <w:right w:val="nil"/>
            </w:tcBorders>
            <w:vAlign w:val="center"/>
          </w:tcPr>
          <w:p w14:paraId="104E56F4" w14:textId="77777777" w:rsidR="002A4F32" w:rsidRPr="003C3E22" w:rsidRDefault="002A4F32" w:rsidP="00B953E3">
            <w:pPr>
              <w:rPr>
                <w:sz w:val="21"/>
                <w:szCs w:val="21"/>
              </w:rPr>
            </w:pPr>
            <w:r w:rsidRPr="003C3E22">
              <w:rPr>
                <w:sz w:val="21"/>
                <w:szCs w:val="21"/>
              </w:rPr>
              <w:t>Maximum 3-month rolling average in the five year period at each receptor</w:t>
            </w:r>
          </w:p>
        </w:tc>
        <w:tc>
          <w:tcPr>
            <w:tcW w:w="1595" w:type="dxa"/>
            <w:tcBorders>
              <w:right w:val="single" w:sz="4" w:space="0" w:color="auto"/>
            </w:tcBorders>
          </w:tcPr>
          <w:p w14:paraId="286A9214" w14:textId="77777777" w:rsidR="002A4F32" w:rsidRPr="003C3E22" w:rsidRDefault="002A4F32" w:rsidP="00B953E3">
            <w:pPr>
              <w:rPr>
                <w:sz w:val="21"/>
                <w:szCs w:val="21"/>
              </w:rPr>
            </w:pPr>
            <w:r w:rsidRPr="003C3E22">
              <w:rPr>
                <w:sz w:val="21"/>
                <w:szCs w:val="21"/>
              </w:rPr>
              <w:t xml:space="preserve">40 CFR Appendix W 9.1 (d) </w:t>
            </w:r>
          </w:p>
        </w:tc>
      </w:tr>
      <w:tr w:rsidR="002A4F32" w:rsidRPr="002A4F32" w14:paraId="5A891C3A" w14:textId="77777777" w:rsidTr="002A4F32">
        <w:trPr>
          <w:cantSplit/>
          <w:jc w:val="center"/>
        </w:trPr>
        <w:tc>
          <w:tcPr>
            <w:tcW w:w="1028" w:type="dxa"/>
            <w:tcBorders>
              <w:left w:val="single" w:sz="4" w:space="0" w:color="auto"/>
            </w:tcBorders>
            <w:vAlign w:val="center"/>
          </w:tcPr>
          <w:p w14:paraId="1E7CF724" w14:textId="77777777" w:rsidR="002A4F32" w:rsidRPr="003C3E22" w:rsidRDefault="002A4F32" w:rsidP="00B953E3">
            <w:pPr>
              <w:jc w:val="center"/>
              <w:rPr>
                <w:sz w:val="21"/>
                <w:szCs w:val="21"/>
              </w:rPr>
            </w:pPr>
            <w:r w:rsidRPr="003C3E22">
              <w:rPr>
                <w:sz w:val="21"/>
                <w:szCs w:val="21"/>
              </w:rPr>
              <w:t>Ozone</w:t>
            </w:r>
          </w:p>
        </w:tc>
        <w:tc>
          <w:tcPr>
            <w:tcW w:w="1105" w:type="dxa"/>
            <w:gridSpan w:val="2"/>
            <w:vAlign w:val="center"/>
          </w:tcPr>
          <w:p w14:paraId="3B21F160" w14:textId="77777777" w:rsidR="002A4F32" w:rsidRPr="003C3E22" w:rsidRDefault="002A4F32" w:rsidP="00B953E3">
            <w:pPr>
              <w:rPr>
                <w:sz w:val="21"/>
                <w:szCs w:val="21"/>
              </w:rPr>
            </w:pPr>
            <w:r w:rsidRPr="003C3E22">
              <w:rPr>
                <w:sz w:val="21"/>
                <w:szCs w:val="21"/>
              </w:rPr>
              <w:t>8-hour</w:t>
            </w:r>
          </w:p>
        </w:tc>
        <w:tc>
          <w:tcPr>
            <w:tcW w:w="1206" w:type="dxa"/>
            <w:vAlign w:val="center"/>
          </w:tcPr>
          <w:p w14:paraId="2035CCCA" w14:textId="77777777" w:rsidR="002A4F32" w:rsidRPr="003C3E22" w:rsidRDefault="002A4F32" w:rsidP="00B953E3">
            <w:pPr>
              <w:jc w:val="center"/>
              <w:rPr>
                <w:sz w:val="21"/>
                <w:szCs w:val="21"/>
              </w:rPr>
            </w:pPr>
            <w:r w:rsidRPr="003C3E22">
              <w:rPr>
                <w:sz w:val="21"/>
                <w:szCs w:val="21"/>
              </w:rPr>
              <w:t>primary and secondary</w:t>
            </w:r>
          </w:p>
        </w:tc>
        <w:tc>
          <w:tcPr>
            <w:tcW w:w="990" w:type="dxa"/>
            <w:tcBorders>
              <w:right w:val="nil"/>
            </w:tcBorders>
            <w:vAlign w:val="center"/>
          </w:tcPr>
          <w:p w14:paraId="4AFE1DD9" w14:textId="77777777" w:rsidR="002A4F32" w:rsidRPr="003C3E22" w:rsidRDefault="002A4F32" w:rsidP="00B953E3">
            <w:pPr>
              <w:jc w:val="center"/>
              <w:rPr>
                <w:sz w:val="21"/>
                <w:szCs w:val="21"/>
              </w:rPr>
            </w:pPr>
            <w:r w:rsidRPr="003C3E22">
              <w:rPr>
                <w:sz w:val="21"/>
                <w:szCs w:val="21"/>
              </w:rPr>
              <w:t xml:space="preserve">0.070 </w:t>
            </w:r>
            <w:r w:rsidRPr="003C3E22">
              <w:rPr>
                <w:b/>
                <w:sz w:val="21"/>
                <w:szCs w:val="21"/>
              </w:rPr>
              <w:t>ppm</w:t>
            </w:r>
          </w:p>
        </w:tc>
        <w:tc>
          <w:tcPr>
            <w:tcW w:w="2716" w:type="dxa"/>
            <w:tcBorders>
              <w:right w:val="nil"/>
            </w:tcBorders>
            <w:vAlign w:val="center"/>
          </w:tcPr>
          <w:p w14:paraId="11CBFE14" w14:textId="77777777" w:rsidR="002A4F32" w:rsidRPr="003C3E22" w:rsidRDefault="002A4F32" w:rsidP="00B953E3">
            <w:pPr>
              <w:rPr>
                <w:sz w:val="21"/>
                <w:szCs w:val="21"/>
              </w:rPr>
            </w:pPr>
            <w:r w:rsidRPr="003C3E22">
              <w:rPr>
                <w:sz w:val="21"/>
                <w:szCs w:val="21"/>
              </w:rPr>
              <w:t xml:space="preserve">Highest forth high (H4H) modeled concentration averaged over 5 years </w:t>
            </w:r>
          </w:p>
        </w:tc>
        <w:tc>
          <w:tcPr>
            <w:tcW w:w="1595" w:type="dxa"/>
            <w:tcBorders>
              <w:right w:val="single" w:sz="4" w:space="0" w:color="auto"/>
            </w:tcBorders>
          </w:tcPr>
          <w:p w14:paraId="59DEFC7D" w14:textId="77777777" w:rsidR="002A4F32" w:rsidRPr="003C3E22" w:rsidRDefault="002A4F32" w:rsidP="00B953E3">
            <w:pPr>
              <w:rPr>
                <w:sz w:val="21"/>
                <w:szCs w:val="21"/>
              </w:rPr>
            </w:pPr>
          </w:p>
        </w:tc>
      </w:tr>
      <w:tr w:rsidR="002A4F32" w:rsidRPr="002A4F32" w14:paraId="535865CF" w14:textId="77777777" w:rsidTr="002A4F32">
        <w:trPr>
          <w:cantSplit/>
          <w:jc w:val="center"/>
        </w:trPr>
        <w:tc>
          <w:tcPr>
            <w:tcW w:w="1028" w:type="dxa"/>
            <w:tcBorders>
              <w:left w:val="single" w:sz="4" w:space="0" w:color="auto"/>
            </w:tcBorders>
            <w:vAlign w:val="center"/>
          </w:tcPr>
          <w:p w14:paraId="590CCE96" w14:textId="77777777" w:rsidR="002A4F32" w:rsidRPr="003C3E22" w:rsidRDefault="002A4F32" w:rsidP="00B953E3">
            <w:pPr>
              <w:jc w:val="center"/>
              <w:rPr>
                <w:sz w:val="21"/>
                <w:szCs w:val="21"/>
              </w:rPr>
            </w:pPr>
            <w:r w:rsidRPr="003C3E22">
              <w:rPr>
                <w:sz w:val="21"/>
                <w:szCs w:val="21"/>
              </w:rPr>
              <w:t>TRS</w:t>
            </w:r>
          </w:p>
        </w:tc>
        <w:tc>
          <w:tcPr>
            <w:tcW w:w="1105" w:type="dxa"/>
            <w:gridSpan w:val="2"/>
            <w:vAlign w:val="center"/>
          </w:tcPr>
          <w:p w14:paraId="5B5E3173" w14:textId="77777777" w:rsidR="002A4F32" w:rsidRPr="003C3E22" w:rsidRDefault="002A4F32" w:rsidP="00B953E3">
            <w:pPr>
              <w:rPr>
                <w:sz w:val="21"/>
                <w:szCs w:val="21"/>
              </w:rPr>
            </w:pPr>
            <w:r w:rsidRPr="003C3E22">
              <w:rPr>
                <w:sz w:val="21"/>
                <w:szCs w:val="21"/>
              </w:rPr>
              <w:t>30-minute</w:t>
            </w:r>
          </w:p>
        </w:tc>
        <w:tc>
          <w:tcPr>
            <w:tcW w:w="1206" w:type="dxa"/>
            <w:vAlign w:val="center"/>
          </w:tcPr>
          <w:p w14:paraId="479BE444" w14:textId="77777777" w:rsidR="002A4F32" w:rsidRPr="003C3E22" w:rsidRDefault="002A4F32" w:rsidP="00B953E3">
            <w:pPr>
              <w:jc w:val="center"/>
              <w:rPr>
                <w:sz w:val="21"/>
                <w:szCs w:val="21"/>
              </w:rPr>
            </w:pPr>
            <w:r w:rsidRPr="003C3E22">
              <w:rPr>
                <w:sz w:val="21"/>
                <w:szCs w:val="21"/>
              </w:rPr>
              <w:t>primary and secondary</w:t>
            </w:r>
          </w:p>
        </w:tc>
        <w:tc>
          <w:tcPr>
            <w:tcW w:w="990" w:type="dxa"/>
            <w:tcBorders>
              <w:right w:val="nil"/>
            </w:tcBorders>
            <w:vAlign w:val="center"/>
          </w:tcPr>
          <w:p w14:paraId="4290D63A" w14:textId="77777777" w:rsidR="002A4F32" w:rsidRPr="003C3E22" w:rsidRDefault="002A4F32" w:rsidP="00B953E3">
            <w:pPr>
              <w:jc w:val="center"/>
              <w:rPr>
                <w:sz w:val="21"/>
                <w:szCs w:val="21"/>
              </w:rPr>
            </w:pPr>
            <w:r w:rsidRPr="003C3E22">
              <w:rPr>
                <w:sz w:val="21"/>
                <w:szCs w:val="21"/>
              </w:rPr>
              <w:t xml:space="preserve">0.10 </w:t>
            </w:r>
            <w:r w:rsidRPr="003C3E22">
              <w:rPr>
                <w:b/>
                <w:sz w:val="21"/>
                <w:szCs w:val="21"/>
              </w:rPr>
              <w:t>ppm</w:t>
            </w:r>
          </w:p>
        </w:tc>
        <w:tc>
          <w:tcPr>
            <w:tcW w:w="2716" w:type="dxa"/>
            <w:tcBorders>
              <w:right w:val="nil"/>
            </w:tcBorders>
            <w:vAlign w:val="center"/>
          </w:tcPr>
          <w:p w14:paraId="49773A86" w14:textId="77777777" w:rsidR="002A4F32" w:rsidRPr="003C3E22" w:rsidRDefault="002A4F32" w:rsidP="00B953E3">
            <w:pPr>
              <w:rPr>
                <w:sz w:val="21"/>
                <w:szCs w:val="21"/>
              </w:rPr>
            </w:pPr>
            <w:r w:rsidRPr="003C3E22">
              <w:rPr>
                <w:sz w:val="21"/>
                <w:szCs w:val="21"/>
              </w:rPr>
              <w:t xml:space="preserve">Highest first high (H1H) modeled concentration for </w:t>
            </w:r>
            <w:proofErr w:type="spellStart"/>
            <w:r w:rsidRPr="003C3E22">
              <w:rPr>
                <w:sz w:val="21"/>
                <w:szCs w:val="21"/>
              </w:rPr>
              <w:t>for</w:t>
            </w:r>
            <w:proofErr w:type="spellEnd"/>
            <w:r w:rsidRPr="003C3E22">
              <w:rPr>
                <w:sz w:val="21"/>
                <w:szCs w:val="21"/>
              </w:rPr>
              <w:t xml:space="preserve"> each of the 5 years modeled</w:t>
            </w:r>
          </w:p>
        </w:tc>
        <w:tc>
          <w:tcPr>
            <w:tcW w:w="1595" w:type="dxa"/>
            <w:tcBorders>
              <w:right w:val="single" w:sz="4" w:space="0" w:color="auto"/>
            </w:tcBorders>
          </w:tcPr>
          <w:p w14:paraId="7E0CFD25" w14:textId="77777777" w:rsidR="002A4F32" w:rsidRPr="003C3E22" w:rsidRDefault="002A4F32" w:rsidP="00B953E3">
            <w:pPr>
              <w:rPr>
                <w:sz w:val="21"/>
                <w:szCs w:val="21"/>
              </w:rPr>
            </w:pPr>
            <w:r w:rsidRPr="003C3E22">
              <w:rPr>
                <w:sz w:val="21"/>
                <w:szCs w:val="21"/>
              </w:rPr>
              <w:t xml:space="preserve">Title 129, Ch. 4, </w:t>
            </w:r>
            <w:r w:rsidRPr="003C3E22">
              <w:rPr>
                <w:sz w:val="21"/>
                <w:szCs w:val="21"/>
                <w:u w:val="single"/>
              </w:rPr>
              <w:t>007</w:t>
            </w:r>
          </w:p>
        </w:tc>
      </w:tr>
    </w:tbl>
    <w:p w14:paraId="0146894D" w14:textId="77777777" w:rsidR="00EB2AED" w:rsidRPr="002A4F32" w:rsidRDefault="00EB2AED" w:rsidP="00EB2AED">
      <w:pPr>
        <w:rPr>
          <w:b/>
          <w:sz w:val="18"/>
        </w:rPr>
      </w:pPr>
    </w:p>
    <w:sectPr w:rsidR="00EB2AED" w:rsidRPr="002A4F32" w:rsidSect="006834B9">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89AD" w14:textId="77777777" w:rsidR="00DB1739" w:rsidRDefault="00DB1739" w:rsidP="006A7497"/>
  </w:endnote>
  <w:endnote w:type="continuationSeparator" w:id="0">
    <w:p w14:paraId="7ADE365A" w14:textId="77777777" w:rsidR="00DB1739" w:rsidRDefault="00DB1739" w:rsidP="006A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808923"/>
      <w:docPartObj>
        <w:docPartGallery w:val="Page Numbers (Bottom of Page)"/>
        <w:docPartUnique/>
      </w:docPartObj>
    </w:sdtPr>
    <w:sdtEndPr>
      <w:rPr>
        <w:noProof/>
      </w:rPr>
    </w:sdtEndPr>
    <w:sdtContent>
      <w:p w14:paraId="182DBDF4" w14:textId="77777777" w:rsidR="009C6668" w:rsidRDefault="009C6668">
        <w:pPr>
          <w:pStyle w:val="Footer"/>
          <w:jc w:val="center"/>
        </w:pPr>
        <w:r>
          <w:t xml:space="preserve">Page </w:t>
        </w:r>
        <w:r>
          <w:fldChar w:fldCharType="begin"/>
        </w:r>
        <w:r>
          <w:instrText xml:space="preserve"> PAGE   \* MERGEFORMAT </w:instrText>
        </w:r>
        <w:r>
          <w:fldChar w:fldCharType="separate"/>
        </w:r>
        <w:r w:rsidR="009D7EB2">
          <w:rPr>
            <w:noProof/>
          </w:rPr>
          <w:t>1</w:t>
        </w:r>
        <w:r>
          <w:rPr>
            <w:noProof/>
          </w:rPr>
          <w:fldChar w:fldCharType="end"/>
        </w:r>
        <w:r>
          <w:rPr>
            <w:noProof/>
          </w:rPr>
          <w:t xml:space="preserve"> of 29</w:t>
        </w:r>
      </w:p>
    </w:sdtContent>
  </w:sdt>
  <w:p w14:paraId="2DDD0937" w14:textId="77777777" w:rsidR="009C6668" w:rsidRDefault="009C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E761" w14:textId="77777777" w:rsidR="00DB1739" w:rsidRDefault="00DB1739" w:rsidP="006A7497">
      <w:r>
        <w:separator/>
      </w:r>
    </w:p>
  </w:footnote>
  <w:footnote w:type="continuationSeparator" w:id="0">
    <w:p w14:paraId="29364C3E" w14:textId="77777777" w:rsidR="00DB1739" w:rsidRDefault="00DB1739" w:rsidP="006A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B30"/>
    <w:multiLevelType w:val="hybridMultilevel"/>
    <w:tmpl w:val="CAA6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543"/>
    <w:multiLevelType w:val="hybridMultilevel"/>
    <w:tmpl w:val="DF6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A2D6E"/>
    <w:multiLevelType w:val="hybridMultilevel"/>
    <w:tmpl w:val="31B4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592A"/>
    <w:multiLevelType w:val="hybridMultilevel"/>
    <w:tmpl w:val="D9B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317"/>
    <w:multiLevelType w:val="hybridMultilevel"/>
    <w:tmpl w:val="87ECC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472F6"/>
    <w:multiLevelType w:val="hybridMultilevel"/>
    <w:tmpl w:val="1A5822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241E2C"/>
    <w:multiLevelType w:val="hybridMultilevel"/>
    <w:tmpl w:val="4FD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35DA7"/>
    <w:multiLevelType w:val="hybridMultilevel"/>
    <w:tmpl w:val="CA500B6E"/>
    <w:lvl w:ilvl="0" w:tplc="28C2FE00">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1AB5BBA"/>
    <w:multiLevelType w:val="hybridMultilevel"/>
    <w:tmpl w:val="6FA803C0"/>
    <w:lvl w:ilvl="0" w:tplc="63704B7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6E76F4"/>
    <w:multiLevelType w:val="hybridMultilevel"/>
    <w:tmpl w:val="A242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F2F2B"/>
    <w:multiLevelType w:val="hybridMultilevel"/>
    <w:tmpl w:val="7B90AE6E"/>
    <w:lvl w:ilvl="0" w:tplc="7910C16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E4555"/>
    <w:multiLevelType w:val="hybridMultilevel"/>
    <w:tmpl w:val="0F56A998"/>
    <w:lvl w:ilvl="0" w:tplc="2270948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E56BBF"/>
    <w:multiLevelType w:val="hybridMultilevel"/>
    <w:tmpl w:val="9E7C6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E26AC"/>
    <w:multiLevelType w:val="hybridMultilevel"/>
    <w:tmpl w:val="9D92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74BB1"/>
    <w:multiLevelType w:val="hybridMultilevel"/>
    <w:tmpl w:val="F15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7798"/>
    <w:multiLevelType w:val="hybridMultilevel"/>
    <w:tmpl w:val="8C6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00B93"/>
    <w:multiLevelType w:val="hybridMultilevel"/>
    <w:tmpl w:val="6A4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727EF"/>
    <w:multiLevelType w:val="hybridMultilevel"/>
    <w:tmpl w:val="47DC3A16"/>
    <w:lvl w:ilvl="0" w:tplc="14320E6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096D71"/>
    <w:multiLevelType w:val="hybridMultilevel"/>
    <w:tmpl w:val="0E76473A"/>
    <w:lvl w:ilvl="0" w:tplc="EEA6DADE">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3624982"/>
    <w:multiLevelType w:val="hybridMultilevel"/>
    <w:tmpl w:val="746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E1A57"/>
    <w:multiLevelType w:val="hybridMultilevel"/>
    <w:tmpl w:val="03BA34F0"/>
    <w:lvl w:ilvl="0" w:tplc="1E3A1CF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5D624D"/>
    <w:multiLevelType w:val="hybridMultilevel"/>
    <w:tmpl w:val="E8F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5280A"/>
    <w:multiLevelType w:val="hybridMultilevel"/>
    <w:tmpl w:val="86F60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C3644"/>
    <w:multiLevelType w:val="hybridMultilevel"/>
    <w:tmpl w:val="32A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45A8C"/>
    <w:multiLevelType w:val="hybridMultilevel"/>
    <w:tmpl w:val="E6F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B216D"/>
    <w:multiLevelType w:val="hybridMultilevel"/>
    <w:tmpl w:val="EE18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233A1"/>
    <w:multiLevelType w:val="hybridMultilevel"/>
    <w:tmpl w:val="069614AE"/>
    <w:lvl w:ilvl="0" w:tplc="EC40F4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A00124"/>
    <w:multiLevelType w:val="hybridMultilevel"/>
    <w:tmpl w:val="F08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5141"/>
    <w:multiLevelType w:val="hybridMultilevel"/>
    <w:tmpl w:val="29587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A79"/>
    <w:multiLevelType w:val="hybridMultilevel"/>
    <w:tmpl w:val="22A6C5E2"/>
    <w:lvl w:ilvl="0" w:tplc="7F2E6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E0AF0"/>
    <w:multiLevelType w:val="hybridMultilevel"/>
    <w:tmpl w:val="4E92A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C739A"/>
    <w:multiLevelType w:val="hybridMultilevel"/>
    <w:tmpl w:val="6DDCF4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6FA1763"/>
    <w:multiLevelType w:val="hybridMultilevel"/>
    <w:tmpl w:val="C74649E0"/>
    <w:lvl w:ilvl="0" w:tplc="7910C16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A60BD6"/>
    <w:multiLevelType w:val="hybridMultilevel"/>
    <w:tmpl w:val="98768D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53484">
    <w:abstractNumId w:val="20"/>
  </w:num>
  <w:num w:numId="2" w16cid:durableId="1501433953">
    <w:abstractNumId w:val="17"/>
  </w:num>
  <w:num w:numId="3" w16cid:durableId="842360070">
    <w:abstractNumId w:val="26"/>
  </w:num>
  <w:num w:numId="4" w16cid:durableId="415060201">
    <w:abstractNumId w:val="8"/>
  </w:num>
  <w:num w:numId="5" w16cid:durableId="957639986">
    <w:abstractNumId w:val="11"/>
  </w:num>
  <w:num w:numId="6" w16cid:durableId="1537234676">
    <w:abstractNumId w:val="1"/>
  </w:num>
  <w:num w:numId="7" w16cid:durableId="676662502">
    <w:abstractNumId w:val="30"/>
  </w:num>
  <w:num w:numId="8" w16cid:durableId="350690036">
    <w:abstractNumId w:val="33"/>
  </w:num>
  <w:num w:numId="9" w16cid:durableId="1083992677">
    <w:abstractNumId w:val="32"/>
  </w:num>
  <w:num w:numId="10" w16cid:durableId="433280976">
    <w:abstractNumId w:val="10"/>
  </w:num>
  <w:num w:numId="11" w16cid:durableId="1915510480">
    <w:abstractNumId w:val="28"/>
  </w:num>
  <w:num w:numId="12" w16cid:durableId="392117744">
    <w:abstractNumId w:val="5"/>
  </w:num>
  <w:num w:numId="13" w16cid:durableId="88694624">
    <w:abstractNumId w:val="31"/>
  </w:num>
  <w:num w:numId="14" w16cid:durableId="1329138985">
    <w:abstractNumId w:val="22"/>
  </w:num>
  <w:num w:numId="15" w16cid:durableId="2001274247">
    <w:abstractNumId w:val="25"/>
  </w:num>
  <w:num w:numId="16" w16cid:durableId="736587012">
    <w:abstractNumId w:val="21"/>
  </w:num>
  <w:num w:numId="17" w16cid:durableId="1859343515">
    <w:abstractNumId w:val="19"/>
  </w:num>
  <w:num w:numId="18" w16cid:durableId="1418289911">
    <w:abstractNumId w:val="12"/>
  </w:num>
  <w:num w:numId="19" w16cid:durableId="1945185711">
    <w:abstractNumId w:val="14"/>
  </w:num>
  <w:num w:numId="20" w16cid:durableId="1659383868">
    <w:abstractNumId w:val="6"/>
  </w:num>
  <w:num w:numId="21" w16cid:durableId="1033311128">
    <w:abstractNumId w:val="29"/>
  </w:num>
  <w:num w:numId="22" w16cid:durableId="577059208">
    <w:abstractNumId w:val="24"/>
  </w:num>
  <w:num w:numId="23" w16cid:durableId="907764547">
    <w:abstractNumId w:val="13"/>
  </w:num>
  <w:num w:numId="24" w16cid:durableId="196477268">
    <w:abstractNumId w:val="9"/>
  </w:num>
  <w:num w:numId="25" w16cid:durableId="1653872985">
    <w:abstractNumId w:val="3"/>
  </w:num>
  <w:num w:numId="26" w16cid:durableId="1981762078">
    <w:abstractNumId w:val="27"/>
  </w:num>
  <w:num w:numId="27" w16cid:durableId="502551222">
    <w:abstractNumId w:val="16"/>
  </w:num>
  <w:num w:numId="28" w16cid:durableId="361249358">
    <w:abstractNumId w:val="23"/>
  </w:num>
  <w:num w:numId="29" w16cid:durableId="2053966111">
    <w:abstractNumId w:val="0"/>
  </w:num>
  <w:num w:numId="30" w16cid:durableId="664284701">
    <w:abstractNumId w:val="2"/>
  </w:num>
  <w:num w:numId="31" w16cid:durableId="403112387">
    <w:abstractNumId w:val="4"/>
  </w:num>
  <w:num w:numId="32" w16cid:durableId="187958054">
    <w:abstractNumId w:val="15"/>
  </w:num>
  <w:num w:numId="33" w16cid:durableId="1943341912">
    <w:abstractNumId w:val="18"/>
  </w:num>
  <w:num w:numId="34" w16cid:durableId="426274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D71"/>
    <w:rsid w:val="00004D4B"/>
    <w:rsid w:val="00006A23"/>
    <w:rsid w:val="0000780B"/>
    <w:rsid w:val="0001206E"/>
    <w:rsid w:val="00013814"/>
    <w:rsid w:val="000229BA"/>
    <w:rsid w:val="00022FA5"/>
    <w:rsid w:val="000230BB"/>
    <w:rsid w:val="0003033A"/>
    <w:rsid w:val="000316A6"/>
    <w:rsid w:val="0003431F"/>
    <w:rsid w:val="000420DF"/>
    <w:rsid w:val="00044E43"/>
    <w:rsid w:val="000458B4"/>
    <w:rsid w:val="00046AC0"/>
    <w:rsid w:val="00046EBB"/>
    <w:rsid w:val="000532F8"/>
    <w:rsid w:val="0005390A"/>
    <w:rsid w:val="00060C03"/>
    <w:rsid w:val="00061DEA"/>
    <w:rsid w:val="00061E39"/>
    <w:rsid w:val="0006242D"/>
    <w:rsid w:val="00063758"/>
    <w:rsid w:val="00065611"/>
    <w:rsid w:val="00073217"/>
    <w:rsid w:val="000747E2"/>
    <w:rsid w:val="0008212E"/>
    <w:rsid w:val="00085DD2"/>
    <w:rsid w:val="00085ECC"/>
    <w:rsid w:val="00086C3C"/>
    <w:rsid w:val="00090D40"/>
    <w:rsid w:val="00092867"/>
    <w:rsid w:val="00093900"/>
    <w:rsid w:val="00097F75"/>
    <w:rsid w:val="000A5970"/>
    <w:rsid w:val="000A6039"/>
    <w:rsid w:val="000A77E1"/>
    <w:rsid w:val="000B0B5D"/>
    <w:rsid w:val="000B0CD9"/>
    <w:rsid w:val="000B7789"/>
    <w:rsid w:val="000C1491"/>
    <w:rsid w:val="000C202D"/>
    <w:rsid w:val="000C4025"/>
    <w:rsid w:val="000D0F7B"/>
    <w:rsid w:val="000D1FFF"/>
    <w:rsid w:val="000D32C2"/>
    <w:rsid w:val="000D53F7"/>
    <w:rsid w:val="000D5839"/>
    <w:rsid w:val="000E2238"/>
    <w:rsid w:val="000E25CC"/>
    <w:rsid w:val="000E29C9"/>
    <w:rsid w:val="000E3440"/>
    <w:rsid w:val="000E7823"/>
    <w:rsid w:val="000F5A03"/>
    <w:rsid w:val="0010795A"/>
    <w:rsid w:val="001104D0"/>
    <w:rsid w:val="00112BD6"/>
    <w:rsid w:val="001137D6"/>
    <w:rsid w:val="00114137"/>
    <w:rsid w:val="001145C1"/>
    <w:rsid w:val="00115646"/>
    <w:rsid w:val="00122177"/>
    <w:rsid w:val="00122674"/>
    <w:rsid w:val="00123D64"/>
    <w:rsid w:val="00124515"/>
    <w:rsid w:val="00124A5E"/>
    <w:rsid w:val="00126B12"/>
    <w:rsid w:val="00126E87"/>
    <w:rsid w:val="00132120"/>
    <w:rsid w:val="0013358B"/>
    <w:rsid w:val="00134A6C"/>
    <w:rsid w:val="00141B97"/>
    <w:rsid w:val="00142A30"/>
    <w:rsid w:val="001438F7"/>
    <w:rsid w:val="00143EC4"/>
    <w:rsid w:val="001447FC"/>
    <w:rsid w:val="001522EF"/>
    <w:rsid w:val="001535B5"/>
    <w:rsid w:val="00160A57"/>
    <w:rsid w:val="00162D89"/>
    <w:rsid w:val="00162DF4"/>
    <w:rsid w:val="00163F5D"/>
    <w:rsid w:val="00170BE5"/>
    <w:rsid w:val="0017320D"/>
    <w:rsid w:val="00174FA1"/>
    <w:rsid w:val="00175E98"/>
    <w:rsid w:val="0017608A"/>
    <w:rsid w:val="00182AC5"/>
    <w:rsid w:val="00183AAB"/>
    <w:rsid w:val="001902DF"/>
    <w:rsid w:val="00192067"/>
    <w:rsid w:val="0019233B"/>
    <w:rsid w:val="00196322"/>
    <w:rsid w:val="001A3790"/>
    <w:rsid w:val="001A6E0D"/>
    <w:rsid w:val="001B0ED7"/>
    <w:rsid w:val="001B1B27"/>
    <w:rsid w:val="001B2558"/>
    <w:rsid w:val="001B28A2"/>
    <w:rsid w:val="001B5408"/>
    <w:rsid w:val="001C2D14"/>
    <w:rsid w:val="001C3F57"/>
    <w:rsid w:val="001D0658"/>
    <w:rsid w:val="001D392D"/>
    <w:rsid w:val="001D3AAC"/>
    <w:rsid w:val="001D65CA"/>
    <w:rsid w:val="001D75F7"/>
    <w:rsid w:val="001E3FFF"/>
    <w:rsid w:val="001E6F75"/>
    <w:rsid w:val="001F33FF"/>
    <w:rsid w:val="001F766A"/>
    <w:rsid w:val="00200A79"/>
    <w:rsid w:val="002012C8"/>
    <w:rsid w:val="00205144"/>
    <w:rsid w:val="002053AC"/>
    <w:rsid w:val="002106A9"/>
    <w:rsid w:val="002106FD"/>
    <w:rsid w:val="00215454"/>
    <w:rsid w:val="0021628A"/>
    <w:rsid w:val="00217DD1"/>
    <w:rsid w:val="00222396"/>
    <w:rsid w:val="0022534F"/>
    <w:rsid w:val="0022697A"/>
    <w:rsid w:val="00230BB8"/>
    <w:rsid w:val="00236764"/>
    <w:rsid w:val="002448B9"/>
    <w:rsid w:val="0024512C"/>
    <w:rsid w:val="00246683"/>
    <w:rsid w:val="00251A1E"/>
    <w:rsid w:val="00255441"/>
    <w:rsid w:val="0025753C"/>
    <w:rsid w:val="00261006"/>
    <w:rsid w:val="002625B4"/>
    <w:rsid w:val="00267080"/>
    <w:rsid w:val="00270919"/>
    <w:rsid w:val="0028103D"/>
    <w:rsid w:val="002827FA"/>
    <w:rsid w:val="00284700"/>
    <w:rsid w:val="00286C3E"/>
    <w:rsid w:val="002916C8"/>
    <w:rsid w:val="00293B9D"/>
    <w:rsid w:val="00294B07"/>
    <w:rsid w:val="002A4F32"/>
    <w:rsid w:val="002B099E"/>
    <w:rsid w:val="002B25BB"/>
    <w:rsid w:val="002B5A63"/>
    <w:rsid w:val="002C05A4"/>
    <w:rsid w:val="002C0E61"/>
    <w:rsid w:val="002C269F"/>
    <w:rsid w:val="002C301D"/>
    <w:rsid w:val="002C3C07"/>
    <w:rsid w:val="002C7A66"/>
    <w:rsid w:val="002D1A7E"/>
    <w:rsid w:val="002D7857"/>
    <w:rsid w:val="002E123F"/>
    <w:rsid w:val="002E38FB"/>
    <w:rsid w:val="002F04D0"/>
    <w:rsid w:val="002F4076"/>
    <w:rsid w:val="002F71B9"/>
    <w:rsid w:val="003001A6"/>
    <w:rsid w:val="00303034"/>
    <w:rsid w:val="00304B1C"/>
    <w:rsid w:val="00304DD8"/>
    <w:rsid w:val="00305233"/>
    <w:rsid w:val="003075FA"/>
    <w:rsid w:val="00315014"/>
    <w:rsid w:val="00316CEF"/>
    <w:rsid w:val="00320387"/>
    <w:rsid w:val="003204EB"/>
    <w:rsid w:val="00320745"/>
    <w:rsid w:val="003217AB"/>
    <w:rsid w:val="00323B9B"/>
    <w:rsid w:val="003327D6"/>
    <w:rsid w:val="00332D0B"/>
    <w:rsid w:val="00336724"/>
    <w:rsid w:val="00340DF1"/>
    <w:rsid w:val="003410B1"/>
    <w:rsid w:val="003413F7"/>
    <w:rsid w:val="0034342F"/>
    <w:rsid w:val="00343AD6"/>
    <w:rsid w:val="00353810"/>
    <w:rsid w:val="0036023A"/>
    <w:rsid w:val="00361B8E"/>
    <w:rsid w:val="00364C6A"/>
    <w:rsid w:val="00364DF8"/>
    <w:rsid w:val="00371468"/>
    <w:rsid w:val="00371AD1"/>
    <w:rsid w:val="00371F81"/>
    <w:rsid w:val="00372C8E"/>
    <w:rsid w:val="00373383"/>
    <w:rsid w:val="0037547C"/>
    <w:rsid w:val="0038038D"/>
    <w:rsid w:val="003810AF"/>
    <w:rsid w:val="003861EC"/>
    <w:rsid w:val="00386DD6"/>
    <w:rsid w:val="0038726C"/>
    <w:rsid w:val="0039036E"/>
    <w:rsid w:val="003904CC"/>
    <w:rsid w:val="00392AE5"/>
    <w:rsid w:val="00395EC0"/>
    <w:rsid w:val="003972CE"/>
    <w:rsid w:val="003A2CBD"/>
    <w:rsid w:val="003A6168"/>
    <w:rsid w:val="003B3A01"/>
    <w:rsid w:val="003B3D0C"/>
    <w:rsid w:val="003B7B51"/>
    <w:rsid w:val="003C0F88"/>
    <w:rsid w:val="003C1084"/>
    <w:rsid w:val="003C10B8"/>
    <w:rsid w:val="003C3872"/>
    <w:rsid w:val="003C3E22"/>
    <w:rsid w:val="003C45D1"/>
    <w:rsid w:val="003C5DA0"/>
    <w:rsid w:val="003C64DC"/>
    <w:rsid w:val="003D5ACD"/>
    <w:rsid w:val="003F3062"/>
    <w:rsid w:val="00402312"/>
    <w:rsid w:val="00402693"/>
    <w:rsid w:val="00403924"/>
    <w:rsid w:val="00404B22"/>
    <w:rsid w:val="004073F4"/>
    <w:rsid w:val="00412ED6"/>
    <w:rsid w:val="00413DFE"/>
    <w:rsid w:val="004169DB"/>
    <w:rsid w:val="00424246"/>
    <w:rsid w:val="00430628"/>
    <w:rsid w:val="00441550"/>
    <w:rsid w:val="0045113D"/>
    <w:rsid w:val="004525C7"/>
    <w:rsid w:val="00452633"/>
    <w:rsid w:val="0045534D"/>
    <w:rsid w:val="004615A0"/>
    <w:rsid w:val="00467635"/>
    <w:rsid w:val="00467727"/>
    <w:rsid w:val="00470353"/>
    <w:rsid w:val="0047038E"/>
    <w:rsid w:val="00470AA2"/>
    <w:rsid w:val="00471126"/>
    <w:rsid w:val="004716DA"/>
    <w:rsid w:val="0047197C"/>
    <w:rsid w:val="004719A0"/>
    <w:rsid w:val="004762EC"/>
    <w:rsid w:val="004772F8"/>
    <w:rsid w:val="00480B43"/>
    <w:rsid w:val="00480D58"/>
    <w:rsid w:val="004812C9"/>
    <w:rsid w:val="00485B67"/>
    <w:rsid w:val="004937BE"/>
    <w:rsid w:val="004941E7"/>
    <w:rsid w:val="00495452"/>
    <w:rsid w:val="00495BEA"/>
    <w:rsid w:val="00497E75"/>
    <w:rsid w:val="004A3E56"/>
    <w:rsid w:val="004A5330"/>
    <w:rsid w:val="004A59DC"/>
    <w:rsid w:val="004B363C"/>
    <w:rsid w:val="004C191A"/>
    <w:rsid w:val="004D7D18"/>
    <w:rsid w:val="004E6145"/>
    <w:rsid w:val="004F4EDD"/>
    <w:rsid w:val="004F5A97"/>
    <w:rsid w:val="004F5D0B"/>
    <w:rsid w:val="004F7BBF"/>
    <w:rsid w:val="00502EA0"/>
    <w:rsid w:val="00512CF5"/>
    <w:rsid w:val="00522035"/>
    <w:rsid w:val="0052663F"/>
    <w:rsid w:val="005345F3"/>
    <w:rsid w:val="005346EA"/>
    <w:rsid w:val="00535DA2"/>
    <w:rsid w:val="0055131F"/>
    <w:rsid w:val="00553F7C"/>
    <w:rsid w:val="005542C0"/>
    <w:rsid w:val="0056011B"/>
    <w:rsid w:val="00572E34"/>
    <w:rsid w:val="005739D6"/>
    <w:rsid w:val="005773DF"/>
    <w:rsid w:val="00582691"/>
    <w:rsid w:val="005850D6"/>
    <w:rsid w:val="00586B4D"/>
    <w:rsid w:val="00587DE1"/>
    <w:rsid w:val="005943CD"/>
    <w:rsid w:val="0059605F"/>
    <w:rsid w:val="005A48FE"/>
    <w:rsid w:val="005A4A7B"/>
    <w:rsid w:val="005A4F74"/>
    <w:rsid w:val="005B07D7"/>
    <w:rsid w:val="005B3D0C"/>
    <w:rsid w:val="005B649A"/>
    <w:rsid w:val="005B6C4A"/>
    <w:rsid w:val="005C14B5"/>
    <w:rsid w:val="005C2317"/>
    <w:rsid w:val="005C3A7A"/>
    <w:rsid w:val="005C44D2"/>
    <w:rsid w:val="005C4D14"/>
    <w:rsid w:val="005C56C0"/>
    <w:rsid w:val="005C6554"/>
    <w:rsid w:val="005D1330"/>
    <w:rsid w:val="005D3B8D"/>
    <w:rsid w:val="005E0369"/>
    <w:rsid w:val="005E63B5"/>
    <w:rsid w:val="005E78B3"/>
    <w:rsid w:val="005F4B9A"/>
    <w:rsid w:val="006000B9"/>
    <w:rsid w:val="006048CF"/>
    <w:rsid w:val="00607773"/>
    <w:rsid w:val="00612DF4"/>
    <w:rsid w:val="006176C6"/>
    <w:rsid w:val="006213C2"/>
    <w:rsid w:val="006229E6"/>
    <w:rsid w:val="00623ABC"/>
    <w:rsid w:val="00624D65"/>
    <w:rsid w:val="00625CBA"/>
    <w:rsid w:val="00654A51"/>
    <w:rsid w:val="00654C96"/>
    <w:rsid w:val="006608DB"/>
    <w:rsid w:val="00660CDA"/>
    <w:rsid w:val="00661D7A"/>
    <w:rsid w:val="0066670E"/>
    <w:rsid w:val="00672E52"/>
    <w:rsid w:val="00675C96"/>
    <w:rsid w:val="00680838"/>
    <w:rsid w:val="006834B9"/>
    <w:rsid w:val="006852BC"/>
    <w:rsid w:val="006878E2"/>
    <w:rsid w:val="0069484B"/>
    <w:rsid w:val="00697ACE"/>
    <w:rsid w:val="006A100A"/>
    <w:rsid w:val="006A7497"/>
    <w:rsid w:val="006B0216"/>
    <w:rsid w:val="006B1BCD"/>
    <w:rsid w:val="006B3800"/>
    <w:rsid w:val="006B393F"/>
    <w:rsid w:val="006B7683"/>
    <w:rsid w:val="006C1A2B"/>
    <w:rsid w:val="006C4C58"/>
    <w:rsid w:val="006D008C"/>
    <w:rsid w:val="006D07D1"/>
    <w:rsid w:val="006D3C17"/>
    <w:rsid w:val="006D437D"/>
    <w:rsid w:val="006D55C8"/>
    <w:rsid w:val="006D5B11"/>
    <w:rsid w:val="006D783A"/>
    <w:rsid w:val="006D79AC"/>
    <w:rsid w:val="006E0AC4"/>
    <w:rsid w:val="006E0E63"/>
    <w:rsid w:val="006E3241"/>
    <w:rsid w:val="006E51C0"/>
    <w:rsid w:val="006E7057"/>
    <w:rsid w:val="006E7759"/>
    <w:rsid w:val="006E7B51"/>
    <w:rsid w:val="006F2090"/>
    <w:rsid w:val="006F4B76"/>
    <w:rsid w:val="006F6274"/>
    <w:rsid w:val="00700A9B"/>
    <w:rsid w:val="00701CEF"/>
    <w:rsid w:val="0070480A"/>
    <w:rsid w:val="00705461"/>
    <w:rsid w:val="007057B6"/>
    <w:rsid w:val="00713D33"/>
    <w:rsid w:val="00716955"/>
    <w:rsid w:val="0072270E"/>
    <w:rsid w:val="00723C9F"/>
    <w:rsid w:val="007254A5"/>
    <w:rsid w:val="007256C4"/>
    <w:rsid w:val="00726584"/>
    <w:rsid w:val="00727CDC"/>
    <w:rsid w:val="00730B93"/>
    <w:rsid w:val="00734D11"/>
    <w:rsid w:val="00735BFB"/>
    <w:rsid w:val="00736F39"/>
    <w:rsid w:val="00742B9E"/>
    <w:rsid w:val="0074332C"/>
    <w:rsid w:val="00745CEE"/>
    <w:rsid w:val="00746A60"/>
    <w:rsid w:val="007525FC"/>
    <w:rsid w:val="0075340E"/>
    <w:rsid w:val="00754E71"/>
    <w:rsid w:val="007553F7"/>
    <w:rsid w:val="007559AC"/>
    <w:rsid w:val="00756CBC"/>
    <w:rsid w:val="00756EAF"/>
    <w:rsid w:val="007604C6"/>
    <w:rsid w:val="00760CFC"/>
    <w:rsid w:val="0076523E"/>
    <w:rsid w:val="00765C96"/>
    <w:rsid w:val="007747F4"/>
    <w:rsid w:val="00780A7C"/>
    <w:rsid w:val="0078174E"/>
    <w:rsid w:val="0078231A"/>
    <w:rsid w:val="007826E5"/>
    <w:rsid w:val="007837E0"/>
    <w:rsid w:val="0078556F"/>
    <w:rsid w:val="00785AB9"/>
    <w:rsid w:val="0079252A"/>
    <w:rsid w:val="00794206"/>
    <w:rsid w:val="00796BE6"/>
    <w:rsid w:val="007A7186"/>
    <w:rsid w:val="007B48E8"/>
    <w:rsid w:val="007B4C40"/>
    <w:rsid w:val="007B6831"/>
    <w:rsid w:val="007C5FF4"/>
    <w:rsid w:val="007C602C"/>
    <w:rsid w:val="007C715E"/>
    <w:rsid w:val="007C7B0D"/>
    <w:rsid w:val="007C7E70"/>
    <w:rsid w:val="007D0011"/>
    <w:rsid w:val="007D4D4C"/>
    <w:rsid w:val="007D578B"/>
    <w:rsid w:val="007E0834"/>
    <w:rsid w:val="007E3C38"/>
    <w:rsid w:val="007F15A0"/>
    <w:rsid w:val="007F1683"/>
    <w:rsid w:val="007F31D8"/>
    <w:rsid w:val="007F3DB9"/>
    <w:rsid w:val="007F42C3"/>
    <w:rsid w:val="007F51D0"/>
    <w:rsid w:val="007F7F76"/>
    <w:rsid w:val="00806D61"/>
    <w:rsid w:val="0081227D"/>
    <w:rsid w:val="008210D9"/>
    <w:rsid w:val="00821399"/>
    <w:rsid w:val="008215E7"/>
    <w:rsid w:val="008230C0"/>
    <w:rsid w:val="008230C9"/>
    <w:rsid w:val="008231EA"/>
    <w:rsid w:val="008234E3"/>
    <w:rsid w:val="00824400"/>
    <w:rsid w:val="008253D6"/>
    <w:rsid w:val="00832E88"/>
    <w:rsid w:val="00833711"/>
    <w:rsid w:val="0083763E"/>
    <w:rsid w:val="00837D8C"/>
    <w:rsid w:val="0084587E"/>
    <w:rsid w:val="0084617C"/>
    <w:rsid w:val="00847624"/>
    <w:rsid w:val="00847FB6"/>
    <w:rsid w:val="00852E20"/>
    <w:rsid w:val="008572E4"/>
    <w:rsid w:val="00862D98"/>
    <w:rsid w:val="00862EA9"/>
    <w:rsid w:val="008635BB"/>
    <w:rsid w:val="008639BD"/>
    <w:rsid w:val="00863F80"/>
    <w:rsid w:val="00867E7D"/>
    <w:rsid w:val="008760D8"/>
    <w:rsid w:val="00876726"/>
    <w:rsid w:val="00877BD4"/>
    <w:rsid w:val="00883FAE"/>
    <w:rsid w:val="00884123"/>
    <w:rsid w:val="0088519E"/>
    <w:rsid w:val="00887B85"/>
    <w:rsid w:val="00890A4B"/>
    <w:rsid w:val="00892D80"/>
    <w:rsid w:val="008950D6"/>
    <w:rsid w:val="008A1900"/>
    <w:rsid w:val="008A6B7C"/>
    <w:rsid w:val="008B2176"/>
    <w:rsid w:val="008B2779"/>
    <w:rsid w:val="008B3C9B"/>
    <w:rsid w:val="008D45F5"/>
    <w:rsid w:val="008E0E7A"/>
    <w:rsid w:val="008E16AD"/>
    <w:rsid w:val="008E3DA9"/>
    <w:rsid w:val="008E7BA8"/>
    <w:rsid w:val="008F2B4C"/>
    <w:rsid w:val="008F623D"/>
    <w:rsid w:val="00906194"/>
    <w:rsid w:val="0090683B"/>
    <w:rsid w:val="00907B25"/>
    <w:rsid w:val="00911C64"/>
    <w:rsid w:val="009125B8"/>
    <w:rsid w:val="00913BF2"/>
    <w:rsid w:val="00914DE2"/>
    <w:rsid w:val="009155A0"/>
    <w:rsid w:val="0091566B"/>
    <w:rsid w:val="00916EC0"/>
    <w:rsid w:val="00924C22"/>
    <w:rsid w:val="00926997"/>
    <w:rsid w:val="009406E6"/>
    <w:rsid w:val="009416CF"/>
    <w:rsid w:val="00942507"/>
    <w:rsid w:val="00942779"/>
    <w:rsid w:val="00943548"/>
    <w:rsid w:val="00947D57"/>
    <w:rsid w:val="00952B6E"/>
    <w:rsid w:val="00954DCE"/>
    <w:rsid w:val="009607EA"/>
    <w:rsid w:val="00964616"/>
    <w:rsid w:val="00966868"/>
    <w:rsid w:val="00971AA0"/>
    <w:rsid w:val="0097661A"/>
    <w:rsid w:val="00987AF6"/>
    <w:rsid w:val="009969D7"/>
    <w:rsid w:val="00997C49"/>
    <w:rsid w:val="009A2EEA"/>
    <w:rsid w:val="009A4049"/>
    <w:rsid w:val="009A4ADC"/>
    <w:rsid w:val="009B52F2"/>
    <w:rsid w:val="009C2B74"/>
    <w:rsid w:val="009C6668"/>
    <w:rsid w:val="009D36F2"/>
    <w:rsid w:val="009D45D9"/>
    <w:rsid w:val="009D50B1"/>
    <w:rsid w:val="009D7EB2"/>
    <w:rsid w:val="009E3B37"/>
    <w:rsid w:val="009E7A03"/>
    <w:rsid w:val="009F0F65"/>
    <w:rsid w:val="009F1AC2"/>
    <w:rsid w:val="009F5303"/>
    <w:rsid w:val="009F5F36"/>
    <w:rsid w:val="00A01AB1"/>
    <w:rsid w:val="00A13BBF"/>
    <w:rsid w:val="00A14E89"/>
    <w:rsid w:val="00A17BCA"/>
    <w:rsid w:val="00A23FB0"/>
    <w:rsid w:val="00A255E3"/>
    <w:rsid w:val="00A30E36"/>
    <w:rsid w:val="00A33151"/>
    <w:rsid w:val="00A358A8"/>
    <w:rsid w:val="00A37750"/>
    <w:rsid w:val="00A41758"/>
    <w:rsid w:val="00A41EAA"/>
    <w:rsid w:val="00A440E6"/>
    <w:rsid w:val="00A5099D"/>
    <w:rsid w:val="00A55AAA"/>
    <w:rsid w:val="00A64D58"/>
    <w:rsid w:val="00A654CC"/>
    <w:rsid w:val="00A708E3"/>
    <w:rsid w:val="00A73FCD"/>
    <w:rsid w:val="00A7613D"/>
    <w:rsid w:val="00A77918"/>
    <w:rsid w:val="00A803AD"/>
    <w:rsid w:val="00A8464F"/>
    <w:rsid w:val="00A84963"/>
    <w:rsid w:val="00A86E2D"/>
    <w:rsid w:val="00A92151"/>
    <w:rsid w:val="00A931B6"/>
    <w:rsid w:val="00A94D92"/>
    <w:rsid w:val="00AA4E27"/>
    <w:rsid w:val="00AB174D"/>
    <w:rsid w:val="00AB35BD"/>
    <w:rsid w:val="00AB63F9"/>
    <w:rsid w:val="00AC1B8B"/>
    <w:rsid w:val="00AC39FA"/>
    <w:rsid w:val="00AC6DFD"/>
    <w:rsid w:val="00AD3E29"/>
    <w:rsid w:val="00AE0CAA"/>
    <w:rsid w:val="00AE2BD0"/>
    <w:rsid w:val="00AE5EAE"/>
    <w:rsid w:val="00AE7E07"/>
    <w:rsid w:val="00AF3223"/>
    <w:rsid w:val="00B033C6"/>
    <w:rsid w:val="00B033DE"/>
    <w:rsid w:val="00B03B07"/>
    <w:rsid w:val="00B10367"/>
    <w:rsid w:val="00B1274C"/>
    <w:rsid w:val="00B12C55"/>
    <w:rsid w:val="00B13F93"/>
    <w:rsid w:val="00B15107"/>
    <w:rsid w:val="00B164C5"/>
    <w:rsid w:val="00B17845"/>
    <w:rsid w:val="00B21E99"/>
    <w:rsid w:val="00B241C2"/>
    <w:rsid w:val="00B27D0F"/>
    <w:rsid w:val="00B3294C"/>
    <w:rsid w:val="00B34A29"/>
    <w:rsid w:val="00B34F21"/>
    <w:rsid w:val="00B36825"/>
    <w:rsid w:val="00B40703"/>
    <w:rsid w:val="00B50616"/>
    <w:rsid w:val="00B559DA"/>
    <w:rsid w:val="00B55D71"/>
    <w:rsid w:val="00B564DA"/>
    <w:rsid w:val="00B5686D"/>
    <w:rsid w:val="00B607DF"/>
    <w:rsid w:val="00B66B69"/>
    <w:rsid w:val="00B67DA2"/>
    <w:rsid w:val="00B70A0A"/>
    <w:rsid w:val="00B72C0C"/>
    <w:rsid w:val="00B73B8E"/>
    <w:rsid w:val="00B76595"/>
    <w:rsid w:val="00B77836"/>
    <w:rsid w:val="00B77DB8"/>
    <w:rsid w:val="00B80D81"/>
    <w:rsid w:val="00B81118"/>
    <w:rsid w:val="00B81829"/>
    <w:rsid w:val="00B820E9"/>
    <w:rsid w:val="00B83DB1"/>
    <w:rsid w:val="00B866CE"/>
    <w:rsid w:val="00B870C9"/>
    <w:rsid w:val="00B953E3"/>
    <w:rsid w:val="00BA510F"/>
    <w:rsid w:val="00BA7EDD"/>
    <w:rsid w:val="00BB0C7E"/>
    <w:rsid w:val="00BB16D6"/>
    <w:rsid w:val="00BB30FD"/>
    <w:rsid w:val="00BB4347"/>
    <w:rsid w:val="00BB459D"/>
    <w:rsid w:val="00BB4AA4"/>
    <w:rsid w:val="00BC28EC"/>
    <w:rsid w:val="00BC32CD"/>
    <w:rsid w:val="00BC5D46"/>
    <w:rsid w:val="00BC6732"/>
    <w:rsid w:val="00BD2D9C"/>
    <w:rsid w:val="00BE23AA"/>
    <w:rsid w:val="00BE4E00"/>
    <w:rsid w:val="00BE5C59"/>
    <w:rsid w:val="00BF1542"/>
    <w:rsid w:val="00BF21A3"/>
    <w:rsid w:val="00BF30D2"/>
    <w:rsid w:val="00C00521"/>
    <w:rsid w:val="00C006EA"/>
    <w:rsid w:val="00C01378"/>
    <w:rsid w:val="00C03B3D"/>
    <w:rsid w:val="00C11DE9"/>
    <w:rsid w:val="00C15635"/>
    <w:rsid w:val="00C166E4"/>
    <w:rsid w:val="00C172D1"/>
    <w:rsid w:val="00C21192"/>
    <w:rsid w:val="00C2171C"/>
    <w:rsid w:val="00C233AE"/>
    <w:rsid w:val="00C31802"/>
    <w:rsid w:val="00C34062"/>
    <w:rsid w:val="00C342DE"/>
    <w:rsid w:val="00C375C6"/>
    <w:rsid w:val="00C4086B"/>
    <w:rsid w:val="00C47A2D"/>
    <w:rsid w:val="00C55313"/>
    <w:rsid w:val="00C7157E"/>
    <w:rsid w:val="00C74670"/>
    <w:rsid w:val="00C77BFC"/>
    <w:rsid w:val="00C82A1A"/>
    <w:rsid w:val="00C8572B"/>
    <w:rsid w:val="00C8796B"/>
    <w:rsid w:val="00C94177"/>
    <w:rsid w:val="00CA1232"/>
    <w:rsid w:val="00CA5AEF"/>
    <w:rsid w:val="00CA5C02"/>
    <w:rsid w:val="00CB1943"/>
    <w:rsid w:val="00CB2B72"/>
    <w:rsid w:val="00CB6583"/>
    <w:rsid w:val="00CB6DCE"/>
    <w:rsid w:val="00CC1A5C"/>
    <w:rsid w:val="00CC1BDE"/>
    <w:rsid w:val="00CC550C"/>
    <w:rsid w:val="00CC58BF"/>
    <w:rsid w:val="00CD0EC4"/>
    <w:rsid w:val="00CD4676"/>
    <w:rsid w:val="00CD615F"/>
    <w:rsid w:val="00CD6F3B"/>
    <w:rsid w:val="00CD7544"/>
    <w:rsid w:val="00CE0131"/>
    <w:rsid w:val="00CE0D11"/>
    <w:rsid w:val="00CE0F3C"/>
    <w:rsid w:val="00CE1815"/>
    <w:rsid w:val="00CE1C30"/>
    <w:rsid w:val="00CE3C2A"/>
    <w:rsid w:val="00CF0C50"/>
    <w:rsid w:val="00CF1611"/>
    <w:rsid w:val="00CF1A31"/>
    <w:rsid w:val="00CF36AE"/>
    <w:rsid w:val="00CF40FF"/>
    <w:rsid w:val="00CF554B"/>
    <w:rsid w:val="00CF7E50"/>
    <w:rsid w:val="00D1132B"/>
    <w:rsid w:val="00D1360F"/>
    <w:rsid w:val="00D140F4"/>
    <w:rsid w:val="00D1448F"/>
    <w:rsid w:val="00D14F39"/>
    <w:rsid w:val="00D20823"/>
    <w:rsid w:val="00D229B9"/>
    <w:rsid w:val="00D233B5"/>
    <w:rsid w:val="00D262ED"/>
    <w:rsid w:val="00D27DA9"/>
    <w:rsid w:val="00D36332"/>
    <w:rsid w:val="00D36615"/>
    <w:rsid w:val="00D37BE1"/>
    <w:rsid w:val="00D41861"/>
    <w:rsid w:val="00D42A51"/>
    <w:rsid w:val="00D4345B"/>
    <w:rsid w:val="00D447F1"/>
    <w:rsid w:val="00D511FD"/>
    <w:rsid w:val="00D51B68"/>
    <w:rsid w:val="00D553AA"/>
    <w:rsid w:val="00D640D4"/>
    <w:rsid w:val="00D65215"/>
    <w:rsid w:val="00D6528B"/>
    <w:rsid w:val="00D71A99"/>
    <w:rsid w:val="00D73A40"/>
    <w:rsid w:val="00D77379"/>
    <w:rsid w:val="00D77F38"/>
    <w:rsid w:val="00D820EE"/>
    <w:rsid w:val="00D83FCE"/>
    <w:rsid w:val="00D86768"/>
    <w:rsid w:val="00D9295E"/>
    <w:rsid w:val="00D937CC"/>
    <w:rsid w:val="00D97D0A"/>
    <w:rsid w:val="00DA2AED"/>
    <w:rsid w:val="00DA3636"/>
    <w:rsid w:val="00DA7E3E"/>
    <w:rsid w:val="00DB1739"/>
    <w:rsid w:val="00DB254A"/>
    <w:rsid w:val="00DB4D0D"/>
    <w:rsid w:val="00DB6868"/>
    <w:rsid w:val="00DC27DC"/>
    <w:rsid w:val="00DC50EE"/>
    <w:rsid w:val="00DC7BC6"/>
    <w:rsid w:val="00DD00BE"/>
    <w:rsid w:val="00DD3746"/>
    <w:rsid w:val="00DD7F7E"/>
    <w:rsid w:val="00DE13D4"/>
    <w:rsid w:val="00DE1918"/>
    <w:rsid w:val="00DE52D4"/>
    <w:rsid w:val="00DE72FA"/>
    <w:rsid w:val="00E0524C"/>
    <w:rsid w:val="00E05A92"/>
    <w:rsid w:val="00E07105"/>
    <w:rsid w:val="00E103F5"/>
    <w:rsid w:val="00E13198"/>
    <w:rsid w:val="00E16446"/>
    <w:rsid w:val="00E21085"/>
    <w:rsid w:val="00E22C74"/>
    <w:rsid w:val="00E22D2F"/>
    <w:rsid w:val="00E32FF9"/>
    <w:rsid w:val="00E36C72"/>
    <w:rsid w:val="00E37005"/>
    <w:rsid w:val="00E40858"/>
    <w:rsid w:val="00E40E75"/>
    <w:rsid w:val="00E4590C"/>
    <w:rsid w:val="00E45FF6"/>
    <w:rsid w:val="00E50697"/>
    <w:rsid w:val="00E50DCA"/>
    <w:rsid w:val="00E51C8A"/>
    <w:rsid w:val="00E522FA"/>
    <w:rsid w:val="00E524F0"/>
    <w:rsid w:val="00E622C9"/>
    <w:rsid w:val="00E65892"/>
    <w:rsid w:val="00E66E72"/>
    <w:rsid w:val="00E736AB"/>
    <w:rsid w:val="00E7622C"/>
    <w:rsid w:val="00E84253"/>
    <w:rsid w:val="00E845D6"/>
    <w:rsid w:val="00E85DEE"/>
    <w:rsid w:val="00E90809"/>
    <w:rsid w:val="00E92174"/>
    <w:rsid w:val="00E95133"/>
    <w:rsid w:val="00E965C7"/>
    <w:rsid w:val="00E96E79"/>
    <w:rsid w:val="00E97959"/>
    <w:rsid w:val="00EA48DE"/>
    <w:rsid w:val="00EA5832"/>
    <w:rsid w:val="00EA60C9"/>
    <w:rsid w:val="00EB0489"/>
    <w:rsid w:val="00EB0745"/>
    <w:rsid w:val="00EB19BF"/>
    <w:rsid w:val="00EB2AED"/>
    <w:rsid w:val="00EB2D98"/>
    <w:rsid w:val="00EB735B"/>
    <w:rsid w:val="00EC2BA1"/>
    <w:rsid w:val="00EC32CC"/>
    <w:rsid w:val="00ED06E2"/>
    <w:rsid w:val="00ED080D"/>
    <w:rsid w:val="00ED0E16"/>
    <w:rsid w:val="00ED24B8"/>
    <w:rsid w:val="00ED3C97"/>
    <w:rsid w:val="00ED52A0"/>
    <w:rsid w:val="00ED6A26"/>
    <w:rsid w:val="00ED7DA0"/>
    <w:rsid w:val="00EE0CBC"/>
    <w:rsid w:val="00EE18F2"/>
    <w:rsid w:val="00EE2838"/>
    <w:rsid w:val="00EE7A95"/>
    <w:rsid w:val="00EF7064"/>
    <w:rsid w:val="00EF7514"/>
    <w:rsid w:val="00F0059A"/>
    <w:rsid w:val="00F0450C"/>
    <w:rsid w:val="00F13FD2"/>
    <w:rsid w:val="00F14648"/>
    <w:rsid w:val="00F203E2"/>
    <w:rsid w:val="00F21093"/>
    <w:rsid w:val="00F26C88"/>
    <w:rsid w:val="00F26F4C"/>
    <w:rsid w:val="00F30929"/>
    <w:rsid w:val="00F32625"/>
    <w:rsid w:val="00F32701"/>
    <w:rsid w:val="00F34D23"/>
    <w:rsid w:val="00F36E04"/>
    <w:rsid w:val="00F406DA"/>
    <w:rsid w:val="00F42E89"/>
    <w:rsid w:val="00F4341B"/>
    <w:rsid w:val="00F46A53"/>
    <w:rsid w:val="00F527F7"/>
    <w:rsid w:val="00F532A0"/>
    <w:rsid w:val="00F539B9"/>
    <w:rsid w:val="00F57A05"/>
    <w:rsid w:val="00F61410"/>
    <w:rsid w:val="00F653FC"/>
    <w:rsid w:val="00F715D8"/>
    <w:rsid w:val="00F76C1B"/>
    <w:rsid w:val="00F805D1"/>
    <w:rsid w:val="00F80B73"/>
    <w:rsid w:val="00F835C1"/>
    <w:rsid w:val="00F84ED7"/>
    <w:rsid w:val="00F8562F"/>
    <w:rsid w:val="00F86CE5"/>
    <w:rsid w:val="00F87212"/>
    <w:rsid w:val="00F8778C"/>
    <w:rsid w:val="00F92B16"/>
    <w:rsid w:val="00F93E1E"/>
    <w:rsid w:val="00F9651C"/>
    <w:rsid w:val="00F972E8"/>
    <w:rsid w:val="00FA4C45"/>
    <w:rsid w:val="00FB19E7"/>
    <w:rsid w:val="00FB6770"/>
    <w:rsid w:val="00FC2739"/>
    <w:rsid w:val="00FC2B7C"/>
    <w:rsid w:val="00FC46C5"/>
    <w:rsid w:val="00FC5C59"/>
    <w:rsid w:val="00FD545A"/>
    <w:rsid w:val="00FD7A27"/>
    <w:rsid w:val="00FE40C5"/>
    <w:rsid w:val="00FE6B2B"/>
    <w:rsid w:val="00FF0772"/>
    <w:rsid w:val="00FF07C2"/>
    <w:rsid w:val="00FF3A59"/>
    <w:rsid w:val="00FF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471A4"/>
  <w15:docId w15:val="{BA75551B-952D-4132-9B7C-5F6DF9F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E3"/>
    <w:rPr>
      <w:sz w:val="22"/>
      <w:szCs w:val="22"/>
    </w:rPr>
  </w:style>
  <w:style w:type="paragraph" w:styleId="Heading1">
    <w:name w:val="heading 1"/>
    <w:next w:val="Normal"/>
    <w:link w:val="Heading1Char"/>
    <w:uiPriority w:val="9"/>
    <w:qFormat/>
    <w:rsid w:val="00D511FD"/>
    <w:pPr>
      <w:keepNext/>
      <w:keepLines/>
      <w:spacing w:before="480"/>
      <w:outlineLvl w:val="0"/>
    </w:pPr>
    <w:rPr>
      <w:rFonts w:eastAsiaTheme="majorEastAsia"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24"/>
    <w:pPr>
      <w:ind w:left="720"/>
      <w:contextualSpacing/>
    </w:pPr>
  </w:style>
  <w:style w:type="paragraph" w:customStyle="1" w:styleId="Default">
    <w:name w:val="Default"/>
    <w:link w:val="DefaultChar"/>
    <w:rsid w:val="00480D58"/>
    <w:pPr>
      <w:autoSpaceDE w:val="0"/>
      <w:autoSpaceDN w:val="0"/>
      <w:adjustRightInd w:val="0"/>
    </w:pPr>
    <w:rPr>
      <w:color w:val="000000"/>
      <w:sz w:val="24"/>
      <w:szCs w:val="24"/>
    </w:rPr>
  </w:style>
  <w:style w:type="character" w:styleId="Hyperlink">
    <w:name w:val="Hyperlink"/>
    <w:basedOn w:val="DefaultParagraphFont"/>
    <w:uiPriority w:val="99"/>
    <w:unhideWhenUsed/>
    <w:rsid w:val="00913BF2"/>
    <w:rPr>
      <w:color w:val="0000FF"/>
      <w:u w:val="single"/>
    </w:rPr>
  </w:style>
  <w:style w:type="table" w:styleId="TableGrid">
    <w:name w:val="Table Grid"/>
    <w:basedOn w:val="TableNormal"/>
    <w:uiPriority w:val="59"/>
    <w:rsid w:val="0083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6E6"/>
    <w:pPr>
      <w:spacing w:before="100" w:beforeAutospacing="1" w:after="100" w:afterAutospacing="1"/>
      <w:ind w:firstLine="480"/>
    </w:pPr>
    <w:rPr>
      <w:sz w:val="24"/>
      <w:szCs w:val="24"/>
    </w:rPr>
  </w:style>
  <w:style w:type="paragraph" w:customStyle="1" w:styleId="note">
    <w:name w:val="note"/>
    <w:basedOn w:val="Normal"/>
    <w:rsid w:val="009406E6"/>
    <w:pPr>
      <w:spacing w:before="200" w:after="100" w:afterAutospacing="1"/>
      <w:ind w:firstLine="480"/>
    </w:pPr>
    <w:rPr>
      <w:sz w:val="18"/>
      <w:szCs w:val="18"/>
    </w:rPr>
  </w:style>
  <w:style w:type="character" w:customStyle="1" w:styleId="su1">
    <w:name w:val="su1"/>
    <w:basedOn w:val="DefaultParagraphFont"/>
    <w:rsid w:val="009406E6"/>
    <w:rPr>
      <w:smallCaps w:val="0"/>
      <w:sz w:val="17"/>
      <w:szCs w:val="17"/>
      <w:vertAlign w:val="superscript"/>
    </w:rPr>
  </w:style>
  <w:style w:type="character" w:customStyle="1" w:styleId="DefaultChar">
    <w:name w:val="Default Char"/>
    <w:basedOn w:val="DefaultParagraphFont"/>
    <w:link w:val="Default"/>
    <w:rsid w:val="008230C0"/>
    <w:rPr>
      <w:color w:val="000000"/>
      <w:sz w:val="24"/>
      <w:szCs w:val="24"/>
    </w:rPr>
  </w:style>
  <w:style w:type="paragraph" w:styleId="EndnoteText">
    <w:name w:val="endnote text"/>
    <w:basedOn w:val="Normal"/>
    <w:link w:val="EndnoteTextChar"/>
    <w:uiPriority w:val="99"/>
    <w:semiHidden/>
    <w:unhideWhenUsed/>
    <w:rsid w:val="006A7497"/>
    <w:rPr>
      <w:sz w:val="20"/>
      <w:szCs w:val="20"/>
    </w:rPr>
  </w:style>
  <w:style w:type="character" w:customStyle="1" w:styleId="EndnoteTextChar">
    <w:name w:val="Endnote Text Char"/>
    <w:basedOn w:val="DefaultParagraphFont"/>
    <w:link w:val="EndnoteText"/>
    <w:uiPriority w:val="99"/>
    <w:semiHidden/>
    <w:rsid w:val="006A7497"/>
  </w:style>
  <w:style w:type="paragraph" w:styleId="BalloonText">
    <w:name w:val="Balloon Text"/>
    <w:basedOn w:val="Normal"/>
    <w:link w:val="BalloonTextChar"/>
    <w:uiPriority w:val="99"/>
    <w:semiHidden/>
    <w:unhideWhenUsed/>
    <w:rsid w:val="001D65CA"/>
    <w:rPr>
      <w:rFonts w:ascii="Tahoma" w:hAnsi="Tahoma" w:cs="Tahoma"/>
      <w:sz w:val="16"/>
      <w:szCs w:val="16"/>
    </w:rPr>
  </w:style>
  <w:style w:type="character" w:customStyle="1" w:styleId="BalloonTextChar">
    <w:name w:val="Balloon Text Char"/>
    <w:basedOn w:val="DefaultParagraphFont"/>
    <w:link w:val="BalloonText"/>
    <w:uiPriority w:val="99"/>
    <w:semiHidden/>
    <w:rsid w:val="001D65CA"/>
    <w:rPr>
      <w:rFonts w:ascii="Tahoma" w:hAnsi="Tahoma" w:cs="Tahoma"/>
      <w:sz w:val="16"/>
      <w:szCs w:val="16"/>
    </w:rPr>
  </w:style>
  <w:style w:type="table" w:customStyle="1" w:styleId="TableGrid1">
    <w:name w:val="Table Grid1"/>
    <w:basedOn w:val="TableNormal"/>
    <w:next w:val="TableGrid"/>
    <w:uiPriority w:val="59"/>
    <w:rsid w:val="002B099E"/>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4C40"/>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B76"/>
    <w:pPr>
      <w:tabs>
        <w:tab w:val="center" w:pos="4680"/>
        <w:tab w:val="right" w:pos="9360"/>
      </w:tabs>
    </w:pPr>
  </w:style>
  <w:style w:type="character" w:customStyle="1" w:styleId="HeaderChar">
    <w:name w:val="Header Char"/>
    <w:basedOn w:val="DefaultParagraphFont"/>
    <w:link w:val="Header"/>
    <w:uiPriority w:val="99"/>
    <w:rsid w:val="006F4B76"/>
    <w:rPr>
      <w:sz w:val="22"/>
      <w:szCs w:val="22"/>
    </w:rPr>
  </w:style>
  <w:style w:type="paragraph" w:styleId="Footer">
    <w:name w:val="footer"/>
    <w:basedOn w:val="Normal"/>
    <w:link w:val="FooterChar"/>
    <w:uiPriority w:val="99"/>
    <w:unhideWhenUsed/>
    <w:rsid w:val="006F4B76"/>
    <w:pPr>
      <w:tabs>
        <w:tab w:val="center" w:pos="4680"/>
        <w:tab w:val="right" w:pos="9360"/>
      </w:tabs>
    </w:pPr>
  </w:style>
  <w:style w:type="character" w:customStyle="1" w:styleId="FooterChar">
    <w:name w:val="Footer Char"/>
    <w:basedOn w:val="DefaultParagraphFont"/>
    <w:link w:val="Footer"/>
    <w:uiPriority w:val="99"/>
    <w:rsid w:val="006F4B76"/>
    <w:rPr>
      <w:sz w:val="22"/>
      <w:szCs w:val="22"/>
    </w:rPr>
  </w:style>
  <w:style w:type="character" w:styleId="EndnoteReference">
    <w:name w:val="endnote reference"/>
    <w:basedOn w:val="DefaultParagraphFont"/>
    <w:uiPriority w:val="99"/>
    <w:semiHidden/>
    <w:unhideWhenUsed/>
    <w:rsid w:val="006D5B11"/>
    <w:rPr>
      <w:vertAlign w:val="superscript"/>
    </w:rPr>
  </w:style>
  <w:style w:type="table" w:customStyle="1" w:styleId="TableGrid3">
    <w:name w:val="Table Grid3"/>
    <w:basedOn w:val="TableNormal"/>
    <w:next w:val="TableGrid"/>
    <w:uiPriority w:val="59"/>
    <w:rsid w:val="00F805D1"/>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301D"/>
    <w:rPr>
      <w:sz w:val="16"/>
      <w:szCs w:val="16"/>
    </w:rPr>
  </w:style>
  <w:style w:type="paragraph" w:styleId="CommentText">
    <w:name w:val="annotation text"/>
    <w:basedOn w:val="Normal"/>
    <w:link w:val="CommentTextChar"/>
    <w:uiPriority w:val="99"/>
    <w:semiHidden/>
    <w:unhideWhenUsed/>
    <w:rsid w:val="002C301D"/>
    <w:rPr>
      <w:sz w:val="20"/>
      <w:szCs w:val="20"/>
    </w:rPr>
  </w:style>
  <w:style w:type="character" w:customStyle="1" w:styleId="CommentTextChar">
    <w:name w:val="Comment Text Char"/>
    <w:basedOn w:val="DefaultParagraphFont"/>
    <w:link w:val="CommentText"/>
    <w:uiPriority w:val="99"/>
    <w:semiHidden/>
    <w:rsid w:val="002C301D"/>
  </w:style>
  <w:style w:type="paragraph" w:styleId="CommentSubject">
    <w:name w:val="annotation subject"/>
    <w:basedOn w:val="CommentText"/>
    <w:next w:val="CommentText"/>
    <w:link w:val="CommentSubjectChar"/>
    <w:uiPriority w:val="99"/>
    <w:semiHidden/>
    <w:unhideWhenUsed/>
    <w:rsid w:val="002C301D"/>
    <w:rPr>
      <w:b/>
      <w:bCs/>
    </w:rPr>
  </w:style>
  <w:style w:type="character" w:customStyle="1" w:styleId="CommentSubjectChar">
    <w:name w:val="Comment Subject Char"/>
    <w:basedOn w:val="CommentTextChar"/>
    <w:link w:val="CommentSubject"/>
    <w:uiPriority w:val="99"/>
    <w:semiHidden/>
    <w:rsid w:val="002C301D"/>
    <w:rPr>
      <w:b/>
      <w:bCs/>
    </w:rPr>
  </w:style>
  <w:style w:type="paragraph" w:styleId="Revision">
    <w:name w:val="Revision"/>
    <w:hidden/>
    <w:uiPriority w:val="99"/>
    <w:semiHidden/>
    <w:rsid w:val="00623ABC"/>
    <w:rPr>
      <w:sz w:val="22"/>
      <w:szCs w:val="22"/>
    </w:rPr>
  </w:style>
  <w:style w:type="character" w:customStyle="1" w:styleId="Heading1Char">
    <w:name w:val="Heading 1 Char"/>
    <w:basedOn w:val="DefaultParagraphFont"/>
    <w:link w:val="Heading1"/>
    <w:uiPriority w:val="9"/>
    <w:rsid w:val="00D511FD"/>
    <w:rPr>
      <w:rFonts w:eastAsiaTheme="majorEastAsia" w:cstheme="majorBidi"/>
      <w:b/>
      <w:bCs/>
      <w:sz w:val="24"/>
      <w:szCs w:val="28"/>
      <w:u w:val="single"/>
    </w:rPr>
  </w:style>
  <w:style w:type="paragraph" w:styleId="TOCHeading">
    <w:name w:val="TOC Heading"/>
    <w:basedOn w:val="Heading1"/>
    <w:next w:val="Normal"/>
    <w:uiPriority w:val="39"/>
    <w:semiHidden/>
    <w:unhideWhenUsed/>
    <w:qFormat/>
    <w:rsid w:val="00B953E3"/>
    <w:pPr>
      <w:spacing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B953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4083">
      <w:bodyDiv w:val="1"/>
      <w:marLeft w:val="0"/>
      <w:marRight w:val="0"/>
      <w:marTop w:val="0"/>
      <w:marBottom w:val="0"/>
      <w:divBdr>
        <w:top w:val="none" w:sz="0" w:space="0" w:color="auto"/>
        <w:left w:val="none" w:sz="0" w:space="0" w:color="auto"/>
        <w:bottom w:val="none" w:sz="0" w:space="0" w:color="auto"/>
        <w:right w:val="none" w:sz="0" w:space="0" w:color="auto"/>
      </w:divBdr>
    </w:div>
    <w:div w:id="210651925">
      <w:bodyDiv w:val="1"/>
      <w:marLeft w:val="0"/>
      <w:marRight w:val="0"/>
      <w:marTop w:val="0"/>
      <w:marBottom w:val="0"/>
      <w:divBdr>
        <w:top w:val="none" w:sz="0" w:space="0" w:color="auto"/>
        <w:left w:val="none" w:sz="0" w:space="0" w:color="auto"/>
        <w:bottom w:val="none" w:sz="0" w:space="0" w:color="auto"/>
        <w:right w:val="none" w:sz="0" w:space="0" w:color="auto"/>
      </w:divBdr>
    </w:div>
    <w:div w:id="477653912">
      <w:bodyDiv w:val="1"/>
      <w:marLeft w:val="0"/>
      <w:marRight w:val="0"/>
      <w:marTop w:val="30"/>
      <w:marBottom w:val="750"/>
      <w:divBdr>
        <w:top w:val="none" w:sz="0" w:space="0" w:color="auto"/>
        <w:left w:val="none" w:sz="0" w:space="0" w:color="auto"/>
        <w:bottom w:val="none" w:sz="0" w:space="0" w:color="auto"/>
        <w:right w:val="none" w:sz="0" w:space="0" w:color="auto"/>
      </w:divBdr>
      <w:divsChild>
        <w:div w:id="309360187">
          <w:marLeft w:val="0"/>
          <w:marRight w:val="0"/>
          <w:marTop w:val="0"/>
          <w:marBottom w:val="0"/>
          <w:divBdr>
            <w:top w:val="none" w:sz="0" w:space="0" w:color="auto"/>
            <w:left w:val="none" w:sz="0" w:space="0" w:color="auto"/>
            <w:bottom w:val="none" w:sz="0" w:space="0" w:color="auto"/>
            <w:right w:val="none" w:sz="0" w:space="0" w:color="auto"/>
          </w:divBdr>
        </w:div>
      </w:divsChild>
    </w:div>
    <w:div w:id="866066979">
      <w:bodyDiv w:val="1"/>
      <w:marLeft w:val="0"/>
      <w:marRight w:val="0"/>
      <w:marTop w:val="30"/>
      <w:marBottom w:val="750"/>
      <w:divBdr>
        <w:top w:val="none" w:sz="0" w:space="0" w:color="auto"/>
        <w:left w:val="none" w:sz="0" w:space="0" w:color="auto"/>
        <w:bottom w:val="none" w:sz="0" w:space="0" w:color="auto"/>
        <w:right w:val="none" w:sz="0" w:space="0" w:color="auto"/>
      </w:divBdr>
      <w:divsChild>
        <w:div w:id="1317496224">
          <w:marLeft w:val="0"/>
          <w:marRight w:val="0"/>
          <w:marTop w:val="0"/>
          <w:marBottom w:val="0"/>
          <w:divBdr>
            <w:top w:val="none" w:sz="0" w:space="0" w:color="auto"/>
            <w:left w:val="none" w:sz="0" w:space="0" w:color="auto"/>
            <w:bottom w:val="none" w:sz="0" w:space="0" w:color="auto"/>
            <w:right w:val="none" w:sz="0" w:space="0" w:color="auto"/>
          </w:divBdr>
        </w:div>
      </w:divsChild>
    </w:div>
    <w:div w:id="981037029">
      <w:bodyDiv w:val="1"/>
      <w:marLeft w:val="0"/>
      <w:marRight w:val="0"/>
      <w:marTop w:val="30"/>
      <w:marBottom w:val="750"/>
      <w:divBdr>
        <w:top w:val="none" w:sz="0" w:space="0" w:color="auto"/>
        <w:left w:val="none" w:sz="0" w:space="0" w:color="auto"/>
        <w:bottom w:val="none" w:sz="0" w:space="0" w:color="auto"/>
        <w:right w:val="none" w:sz="0" w:space="0" w:color="auto"/>
      </w:divBdr>
      <w:divsChild>
        <w:div w:id="1998680679">
          <w:marLeft w:val="0"/>
          <w:marRight w:val="0"/>
          <w:marTop w:val="0"/>
          <w:marBottom w:val="0"/>
          <w:divBdr>
            <w:top w:val="none" w:sz="0" w:space="0" w:color="auto"/>
            <w:left w:val="none" w:sz="0" w:space="0" w:color="auto"/>
            <w:bottom w:val="none" w:sz="0" w:space="0" w:color="auto"/>
            <w:right w:val="none" w:sz="0" w:space="0" w:color="auto"/>
          </w:divBdr>
        </w:div>
      </w:divsChild>
    </w:div>
    <w:div w:id="1010982624">
      <w:bodyDiv w:val="1"/>
      <w:marLeft w:val="0"/>
      <w:marRight w:val="0"/>
      <w:marTop w:val="0"/>
      <w:marBottom w:val="0"/>
      <w:divBdr>
        <w:top w:val="none" w:sz="0" w:space="0" w:color="auto"/>
        <w:left w:val="none" w:sz="0" w:space="0" w:color="auto"/>
        <w:bottom w:val="none" w:sz="0" w:space="0" w:color="auto"/>
        <w:right w:val="none" w:sz="0" w:space="0" w:color="auto"/>
      </w:divBdr>
    </w:div>
    <w:div w:id="1061908921">
      <w:bodyDiv w:val="1"/>
      <w:marLeft w:val="0"/>
      <w:marRight w:val="0"/>
      <w:marTop w:val="0"/>
      <w:marBottom w:val="0"/>
      <w:divBdr>
        <w:top w:val="none" w:sz="0" w:space="0" w:color="auto"/>
        <w:left w:val="none" w:sz="0" w:space="0" w:color="auto"/>
        <w:bottom w:val="none" w:sz="0" w:space="0" w:color="auto"/>
        <w:right w:val="none" w:sz="0" w:space="0" w:color="auto"/>
      </w:divBdr>
    </w:div>
    <w:div w:id="1625892332">
      <w:bodyDiv w:val="1"/>
      <w:marLeft w:val="0"/>
      <w:marRight w:val="0"/>
      <w:marTop w:val="30"/>
      <w:marBottom w:val="750"/>
      <w:divBdr>
        <w:top w:val="none" w:sz="0" w:space="0" w:color="auto"/>
        <w:left w:val="none" w:sz="0" w:space="0" w:color="auto"/>
        <w:bottom w:val="none" w:sz="0" w:space="0" w:color="auto"/>
        <w:right w:val="none" w:sz="0" w:space="0" w:color="auto"/>
      </w:divBdr>
      <w:divsChild>
        <w:div w:id="968558400">
          <w:marLeft w:val="0"/>
          <w:marRight w:val="0"/>
          <w:marTop w:val="0"/>
          <w:marBottom w:val="0"/>
          <w:divBdr>
            <w:top w:val="none" w:sz="0" w:space="0" w:color="auto"/>
            <w:left w:val="none" w:sz="0" w:space="0" w:color="auto"/>
            <w:bottom w:val="none" w:sz="0" w:space="0" w:color="auto"/>
            <w:right w:val="none" w:sz="0" w:space="0" w:color="auto"/>
          </w:divBdr>
          <w:divsChild>
            <w:div w:id="12704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D2670292-2CB3-448B-84FE-A8A57D76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8059</Words>
  <Characters>45941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DEQ262</dc:creator>
  <cp:lastModifiedBy>Painter, Erin</cp:lastModifiedBy>
  <cp:revision>3</cp:revision>
  <cp:lastPrinted>2017-07-31T13:59:00Z</cp:lastPrinted>
  <dcterms:created xsi:type="dcterms:W3CDTF">2017-08-31T15:16:00Z</dcterms:created>
  <dcterms:modified xsi:type="dcterms:W3CDTF">2024-05-09T18:12:00Z</dcterms:modified>
</cp:coreProperties>
</file>