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F73A" w14:textId="77777777" w:rsidR="00247ABE" w:rsidRDefault="00247ABE" w:rsidP="009224E4">
      <w:pPr>
        <w:ind w:left="-240"/>
        <w:rPr>
          <w:b/>
          <w:sz w:val="28"/>
          <w:szCs w:val="28"/>
        </w:rPr>
      </w:pPr>
    </w:p>
    <w:p w14:paraId="53226E0A" w14:textId="5DF694A9" w:rsidR="009224E4" w:rsidRPr="00AC2002" w:rsidRDefault="009224E4" w:rsidP="009224E4">
      <w:pPr>
        <w:ind w:left="-240"/>
        <w:rPr>
          <w:b/>
          <w:sz w:val="28"/>
          <w:szCs w:val="28"/>
        </w:rPr>
      </w:pPr>
      <w:r w:rsidRPr="00AC2002">
        <w:rPr>
          <w:b/>
          <w:sz w:val="28"/>
          <w:szCs w:val="28"/>
        </w:rPr>
        <w:t>INSTRUCTIONS:</w:t>
      </w:r>
    </w:p>
    <w:p w14:paraId="6AE44774" w14:textId="77777777" w:rsidR="009224E4" w:rsidRDefault="009224E4" w:rsidP="009224E4">
      <w:pPr>
        <w:ind w:left="-240"/>
        <w:rPr>
          <w:b/>
          <w:sz w:val="28"/>
          <w:szCs w:val="28"/>
        </w:rPr>
      </w:pPr>
      <w:r w:rsidRPr="00AC2002">
        <w:rPr>
          <w:b/>
          <w:sz w:val="28"/>
          <w:szCs w:val="28"/>
        </w:rPr>
        <w:t>Section 1.</w:t>
      </w:r>
      <w:r>
        <w:rPr>
          <w:b/>
          <w:sz w:val="28"/>
          <w:szCs w:val="28"/>
        </w:rPr>
        <w:t>3</w:t>
      </w:r>
      <w:r w:rsidRPr="00AC2002">
        <w:rPr>
          <w:b/>
          <w:sz w:val="28"/>
          <w:szCs w:val="28"/>
        </w:rPr>
        <w:t xml:space="preserve">: </w:t>
      </w:r>
      <w:r>
        <w:rPr>
          <w:b/>
          <w:sz w:val="28"/>
          <w:szCs w:val="28"/>
        </w:rPr>
        <w:t>Insignificant Activities</w:t>
      </w:r>
    </w:p>
    <w:p w14:paraId="52961477" w14:textId="77777777" w:rsidR="00F50EA3" w:rsidRDefault="00F50EA3" w:rsidP="00834C0B">
      <w:pPr>
        <w:pStyle w:val="BodyText2"/>
        <w:tabs>
          <w:tab w:val="left" w:pos="720"/>
        </w:tabs>
        <w:ind w:left="-240"/>
        <w:rPr>
          <w:b/>
          <w:bCs/>
          <w:sz w:val="22"/>
          <w:szCs w:val="22"/>
          <w:u w:val="single"/>
        </w:rPr>
      </w:pPr>
    </w:p>
    <w:p w14:paraId="629C05A6" w14:textId="460C0747" w:rsidR="007648B5" w:rsidRPr="003277D2" w:rsidRDefault="007648B5" w:rsidP="00834C0B">
      <w:pPr>
        <w:pStyle w:val="BodyText2"/>
        <w:tabs>
          <w:tab w:val="left" w:pos="720"/>
        </w:tabs>
        <w:ind w:left="-240"/>
        <w:rPr>
          <w:b/>
          <w:bCs/>
          <w:sz w:val="22"/>
          <w:szCs w:val="22"/>
        </w:rPr>
      </w:pPr>
      <w:r w:rsidRPr="003277D2">
        <w:rPr>
          <w:b/>
          <w:bCs/>
          <w:sz w:val="22"/>
          <w:szCs w:val="22"/>
          <w:u w:val="single"/>
        </w:rPr>
        <w:t>IMPORTANT</w:t>
      </w:r>
      <w:r w:rsidRPr="003277D2">
        <w:rPr>
          <w:b/>
          <w:bCs/>
          <w:sz w:val="22"/>
          <w:szCs w:val="22"/>
        </w:rPr>
        <w:t>: Please type or print with black ink.  Do NOT use pencil. If you have questions, please contact the Nebraska Department of Environment</w:t>
      </w:r>
      <w:r w:rsidR="00A47B88">
        <w:rPr>
          <w:b/>
          <w:bCs/>
          <w:sz w:val="22"/>
          <w:szCs w:val="22"/>
        </w:rPr>
        <w:t xml:space="preserve"> and Energy </w:t>
      </w:r>
      <w:r w:rsidRPr="003277D2">
        <w:rPr>
          <w:b/>
          <w:bCs/>
          <w:sz w:val="22"/>
          <w:szCs w:val="22"/>
        </w:rPr>
        <w:t xml:space="preserve"> (</w:t>
      </w:r>
      <w:r w:rsidR="00A47B88" w:rsidRPr="003277D2">
        <w:rPr>
          <w:b/>
          <w:bCs/>
          <w:sz w:val="22"/>
          <w:szCs w:val="22"/>
        </w:rPr>
        <w:t>NDE</w:t>
      </w:r>
      <w:r w:rsidR="00A47B88">
        <w:rPr>
          <w:b/>
          <w:bCs/>
          <w:sz w:val="22"/>
          <w:szCs w:val="22"/>
        </w:rPr>
        <w:t>E</w:t>
      </w:r>
      <w:r w:rsidRPr="003277D2">
        <w:rPr>
          <w:b/>
          <w:bCs/>
          <w:sz w:val="22"/>
          <w:szCs w:val="22"/>
        </w:rPr>
        <w:t xml:space="preserve">), Air Quality Operating Permit </w:t>
      </w:r>
      <w:r w:rsidR="003B6C0C">
        <w:rPr>
          <w:b/>
          <w:bCs/>
          <w:sz w:val="22"/>
          <w:szCs w:val="22"/>
        </w:rPr>
        <w:t>Section</w:t>
      </w:r>
      <w:r w:rsidRPr="003277D2">
        <w:rPr>
          <w:b/>
          <w:bCs/>
          <w:sz w:val="22"/>
          <w:szCs w:val="22"/>
        </w:rPr>
        <w:t>, at (402) 471-</w:t>
      </w:r>
      <w:r w:rsidR="00A47B88" w:rsidRPr="003277D2">
        <w:rPr>
          <w:b/>
          <w:bCs/>
          <w:sz w:val="22"/>
          <w:szCs w:val="22"/>
        </w:rPr>
        <w:t>218</w:t>
      </w:r>
      <w:r w:rsidR="0068292E">
        <w:rPr>
          <w:b/>
          <w:bCs/>
          <w:sz w:val="22"/>
          <w:szCs w:val="22"/>
        </w:rPr>
        <w:t>6</w:t>
      </w:r>
      <w:r w:rsidR="00A47B88" w:rsidRPr="003277D2">
        <w:rPr>
          <w:b/>
          <w:bCs/>
          <w:sz w:val="22"/>
          <w:szCs w:val="22"/>
        </w:rPr>
        <w:t xml:space="preserve"> </w:t>
      </w:r>
      <w:r w:rsidRPr="003277D2">
        <w:rPr>
          <w:b/>
          <w:bCs/>
          <w:sz w:val="22"/>
          <w:szCs w:val="22"/>
        </w:rPr>
        <w:t xml:space="preserve">or </w:t>
      </w:r>
      <w:r w:rsidR="00A47B88">
        <w:rPr>
          <w:b/>
          <w:bCs/>
          <w:sz w:val="22"/>
          <w:szCs w:val="22"/>
        </w:rPr>
        <w:t>NDEE.AirQuality@nebraska.gov</w:t>
      </w:r>
      <w:r w:rsidRPr="003277D2">
        <w:rPr>
          <w:b/>
          <w:bCs/>
          <w:sz w:val="22"/>
          <w:szCs w:val="22"/>
        </w:rPr>
        <w:t>.</w:t>
      </w:r>
      <w:r w:rsidR="000C22D5">
        <w:rPr>
          <w:b/>
          <w:bCs/>
          <w:sz w:val="22"/>
          <w:szCs w:val="22"/>
        </w:rPr>
        <w:t xml:space="preserve">  </w:t>
      </w:r>
    </w:p>
    <w:p w14:paraId="1691AB24" w14:textId="77777777" w:rsidR="007648B5" w:rsidRPr="003277D2" w:rsidRDefault="007648B5" w:rsidP="00834C0B">
      <w:pPr>
        <w:rPr>
          <w:sz w:val="22"/>
          <w:szCs w:val="22"/>
        </w:rPr>
      </w:pPr>
    </w:p>
    <w:p w14:paraId="6D5F44E3" w14:textId="77777777" w:rsidR="007648B5" w:rsidRPr="003277D2" w:rsidRDefault="007648B5" w:rsidP="003564B6">
      <w:pPr>
        <w:pStyle w:val="Heading3"/>
        <w:spacing w:after="120"/>
        <w:ind w:left="-245" w:right="0"/>
        <w:rPr>
          <w:sz w:val="22"/>
          <w:szCs w:val="22"/>
        </w:rPr>
      </w:pPr>
      <w:r w:rsidRPr="003277D2">
        <w:rPr>
          <w:sz w:val="22"/>
          <w:szCs w:val="22"/>
        </w:rPr>
        <w:t>GENERAL INSTRUCTIONS</w:t>
      </w:r>
    </w:p>
    <w:p w14:paraId="7AE2BD3C" w14:textId="77777777" w:rsidR="005E5E8B" w:rsidRPr="003277D2" w:rsidRDefault="009577C9" w:rsidP="00834C0B">
      <w:pPr>
        <w:pStyle w:val="PlainText"/>
        <w:spacing w:after="120"/>
        <w:ind w:left="-240"/>
        <w:rPr>
          <w:bCs/>
          <w:sz w:val="22"/>
          <w:szCs w:val="22"/>
        </w:rPr>
      </w:pPr>
      <w:r w:rsidRPr="003277D2">
        <w:rPr>
          <w:bCs/>
          <w:sz w:val="22"/>
          <w:szCs w:val="22"/>
        </w:rPr>
        <w:t>After reading these instructions</w:t>
      </w:r>
      <w:r w:rsidR="00C01231" w:rsidRPr="003277D2">
        <w:rPr>
          <w:bCs/>
          <w:sz w:val="22"/>
          <w:szCs w:val="22"/>
        </w:rPr>
        <w:t>, complete Section 1.3</w:t>
      </w:r>
      <w:r w:rsidR="005E5E8B" w:rsidRPr="003277D2">
        <w:rPr>
          <w:bCs/>
          <w:sz w:val="22"/>
          <w:szCs w:val="22"/>
        </w:rPr>
        <w:t>, Insignificant Activities List.</w:t>
      </w:r>
    </w:p>
    <w:p w14:paraId="6782A1E7" w14:textId="6E4CC20A" w:rsidR="006A0666" w:rsidRDefault="004A75D1" w:rsidP="00834C0B">
      <w:pPr>
        <w:pStyle w:val="PlainText"/>
        <w:spacing w:after="120"/>
        <w:ind w:left="-240"/>
        <w:rPr>
          <w:sz w:val="22"/>
          <w:szCs w:val="22"/>
        </w:rPr>
      </w:pPr>
      <w:r>
        <w:rPr>
          <w:sz w:val="22"/>
          <w:szCs w:val="22"/>
        </w:rPr>
        <w:t xml:space="preserve">As defined in </w:t>
      </w:r>
      <w:hyperlink r:id="rId7" w:history="1">
        <w:r w:rsidRPr="00223649">
          <w:rPr>
            <w:rStyle w:val="Hyperlink"/>
            <w:sz w:val="22"/>
            <w:szCs w:val="22"/>
          </w:rPr>
          <w:t xml:space="preserve">Title 129, Chapter </w:t>
        </w:r>
        <w:r w:rsidR="00837371" w:rsidRPr="00223649">
          <w:rPr>
            <w:rStyle w:val="Hyperlink"/>
            <w:sz w:val="22"/>
            <w:szCs w:val="22"/>
          </w:rPr>
          <w:t>1</w:t>
        </w:r>
      </w:hyperlink>
      <w:r w:rsidR="00837371">
        <w:rPr>
          <w:sz w:val="22"/>
          <w:szCs w:val="22"/>
        </w:rPr>
        <w:t xml:space="preserve">, </w:t>
      </w:r>
      <w:r>
        <w:rPr>
          <w:sz w:val="22"/>
          <w:szCs w:val="22"/>
        </w:rPr>
        <w:t>i</w:t>
      </w:r>
      <w:r w:rsidR="00CF625A" w:rsidRPr="004A75D1">
        <w:rPr>
          <w:sz w:val="22"/>
          <w:szCs w:val="22"/>
        </w:rPr>
        <w:t>nsignificant</w:t>
      </w:r>
      <w:r w:rsidR="00CF625A" w:rsidRPr="003277D2">
        <w:rPr>
          <w:sz w:val="22"/>
          <w:szCs w:val="22"/>
        </w:rPr>
        <w:t xml:space="preserve"> activities are those activities and emission</w:t>
      </w:r>
      <w:r>
        <w:rPr>
          <w:sz w:val="22"/>
          <w:szCs w:val="22"/>
        </w:rPr>
        <w:t>s</w:t>
      </w:r>
      <w:r w:rsidR="00CF625A" w:rsidRPr="003277D2">
        <w:rPr>
          <w:sz w:val="22"/>
          <w:szCs w:val="22"/>
        </w:rPr>
        <w:t xml:space="preserve"> that </w:t>
      </w:r>
      <w:r>
        <w:rPr>
          <w:sz w:val="22"/>
          <w:szCs w:val="22"/>
        </w:rPr>
        <w:t xml:space="preserve">may </w:t>
      </w:r>
      <w:r w:rsidR="00CF625A" w:rsidRPr="003277D2">
        <w:rPr>
          <w:sz w:val="22"/>
          <w:szCs w:val="22"/>
        </w:rPr>
        <w:t xml:space="preserve">be excluded from </w:t>
      </w:r>
      <w:r>
        <w:rPr>
          <w:sz w:val="22"/>
          <w:szCs w:val="22"/>
        </w:rPr>
        <w:t xml:space="preserve">reporting for </w:t>
      </w:r>
      <w:r w:rsidR="00CF625A" w:rsidRPr="003277D2">
        <w:rPr>
          <w:sz w:val="22"/>
          <w:szCs w:val="22"/>
        </w:rPr>
        <w:t>operating permit application</w:t>
      </w:r>
      <w:r>
        <w:rPr>
          <w:sz w:val="22"/>
          <w:szCs w:val="22"/>
        </w:rPr>
        <w:t>s</w:t>
      </w:r>
      <w:r w:rsidR="00CF625A" w:rsidRPr="003277D2">
        <w:rPr>
          <w:sz w:val="22"/>
          <w:szCs w:val="22"/>
        </w:rPr>
        <w:t xml:space="preserve"> </w:t>
      </w:r>
      <w:r>
        <w:rPr>
          <w:sz w:val="22"/>
          <w:szCs w:val="22"/>
        </w:rPr>
        <w:t>and/</w:t>
      </w:r>
      <w:r w:rsidR="00CF625A" w:rsidRPr="003277D2">
        <w:rPr>
          <w:sz w:val="22"/>
          <w:szCs w:val="22"/>
        </w:rPr>
        <w:t>or</w:t>
      </w:r>
      <w:r>
        <w:rPr>
          <w:sz w:val="22"/>
          <w:szCs w:val="22"/>
        </w:rPr>
        <w:t xml:space="preserve"> emissions inventories.</w:t>
      </w:r>
      <w:r w:rsidR="00CF625A" w:rsidRPr="003277D2">
        <w:rPr>
          <w:sz w:val="22"/>
          <w:szCs w:val="22"/>
        </w:rPr>
        <w:t xml:space="preserve"> </w:t>
      </w:r>
      <w:r>
        <w:rPr>
          <w:sz w:val="22"/>
          <w:szCs w:val="22"/>
        </w:rPr>
        <w:t>If an insignificant activity must be included in an operating permit application, the activity can be listed in the application with a limited amount of support information.</w:t>
      </w:r>
      <w:r w:rsidR="006A0666">
        <w:rPr>
          <w:sz w:val="22"/>
          <w:szCs w:val="22"/>
        </w:rPr>
        <w:t xml:space="preserve">  The authority to develop a list of insignificant activities comes from </w:t>
      </w:r>
      <w:hyperlink r:id="rId8" w:history="1">
        <w:r w:rsidR="006A0666" w:rsidRPr="00223649">
          <w:rPr>
            <w:rStyle w:val="Hyperlink"/>
            <w:sz w:val="22"/>
            <w:szCs w:val="22"/>
          </w:rPr>
          <w:t xml:space="preserve">Title 129, Chapter </w:t>
        </w:r>
        <w:r w:rsidR="00A47B88" w:rsidRPr="00223649">
          <w:rPr>
            <w:rStyle w:val="Hyperlink"/>
            <w:sz w:val="22"/>
            <w:szCs w:val="22"/>
          </w:rPr>
          <w:t>6</w:t>
        </w:r>
      </w:hyperlink>
      <w:r w:rsidR="006A0666">
        <w:rPr>
          <w:sz w:val="22"/>
          <w:szCs w:val="22"/>
        </w:rPr>
        <w:t xml:space="preserve">, Section </w:t>
      </w:r>
      <w:r w:rsidR="00A47B88">
        <w:rPr>
          <w:sz w:val="22"/>
          <w:szCs w:val="22"/>
          <w:u w:val="single"/>
        </w:rPr>
        <w:t>002</w:t>
      </w:r>
      <w:r w:rsidR="006A0666">
        <w:rPr>
          <w:sz w:val="22"/>
          <w:szCs w:val="22"/>
          <w:u w:val="single"/>
        </w:rPr>
        <w:t>.</w:t>
      </w:r>
      <w:r w:rsidR="00A47B88">
        <w:rPr>
          <w:sz w:val="22"/>
          <w:szCs w:val="22"/>
          <w:u w:val="single"/>
        </w:rPr>
        <w:t>05C</w:t>
      </w:r>
      <w:r w:rsidR="006A0666">
        <w:rPr>
          <w:sz w:val="22"/>
          <w:szCs w:val="22"/>
        </w:rPr>
        <w:t xml:space="preserve">.  The </w:t>
      </w:r>
      <w:r w:rsidR="00A47B88">
        <w:rPr>
          <w:sz w:val="22"/>
          <w:szCs w:val="22"/>
        </w:rPr>
        <w:t xml:space="preserve">NDEE </w:t>
      </w:r>
      <w:r w:rsidR="006A0666">
        <w:rPr>
          <w:sz w:val="22"/>
          <w:szCs w:val="22"/>
        </w:rPr>
        <w:t xml:space="preserve">also has the ability to update the list of insignificant activities, as necessary.  </w:t>
      </w:r>
    </w:p>
    <w:p w14:paraId="198A058B" w14:textId="15656AFC" w:rsidR="004A75D1" w:rsidRPr="006A0666" w:rsidRDefault="006A0666" w:rsidP="00834C0B">
      <w:pPr>
        <w:pStyle w:val="PlainText"/>
        <w:spacing w:after="120"/>
        <w:ind w:left="-240"/>
        <w:rPr>
          <w:sz w:val="22"/>
          <w:szCs w:val="22"/>
        </w:rPr>
      </w:pPr>
      <w:r>
        <w:rPr>
          <w:sz w:val="22"/>
          <w:szCs w:val="22"/>
        </w:rPr>
        <w:t xml:space="preserve">These instructions include the insignificant activities list.  Parts 1 and </w:t>
      </w:r>
      <w:r w:rsidR="00C1002E">
        <w:rPr>
          <w:sz w:val="22"/>
          <w:szCs w:val="22"/>
        </w:rPr>
        <w:t>2</w:t>
      </w:r>
      <w:r>
        <w:rPr>
          <w:sz w:val="22"/>
          <w:szCs w:val="22"/>
        </w:rPr>
        <w:t xml:space="preserve"> of these instructions include insignificant activities that are exempt</w:t>
      </w:r>
      <w:r w:rsidR="00BD4EFE">
        <w:rPr>
          <w:sz w:val="22"/>
          <w:szCs w:val="22"/>
        </w:rPr>
        <w:t>,</w:t>
      </w:r>
      <w:r>
        <w:rPr>
          <w:sz w:val="22"/>
          <w:szCs w:val="22"/>
        </w:rPr>
        <w:t xml:space="preserve"> </w:t>
      </w:r>
      <w:r w:rsidR="00C1002E">
        <w:rPr>
          <w:sz w:val="22"/>
          <w:szCs w:val="22"/>
        </w:rPr>
        <w:t>or conditionally exempt</w:t>
      </w:r>
      <w:r w:rsidR="00BD4EFE">
        <w:rPr>
          <w:sz w:val="22"/>
          <w:szCs w:val="22"/>
        </w:rPr>
        <w:t>,</w:t>
      </w:r>
      <w:r w:rsidR="00C1002E">
        <w:rPr>
          <w:sz w:val="22"/>
          <w:szCs w:val="22"/>
        </w:rPr>
        <w:t xml:space="preserve"> </w:t>
      </w:r>
      <w:r>
        <w:rPr>
          <w:sz w:val="22"/>
          <w:szCs w:val="22"/>
        </w:rPr>
        <w:t xml:space="preserve">from inclusion in both the operating permit application and the emissions inventory report forms.  Parts </w:t>
      </w:r>
      <w:r w:rsidR="002A6141">
        <w:rPr>
          <w:sz w:val="22"/>
          <w:szCs w:val="22"/>
        </w:rPr>
        <w:t>3</w:t>
      </w:r>
      <w:r>
        <w:rPr>
          <w:sz w:val="22"/>
          <w:szCs w:val="22"/>
        </w:rPr>
        <w:t xml:space="preserve"> and </w:t>
      </w:r>
      <w:r w:rsidR="002A6141">
        <w:rPr>
          <w:sz w:val="22"/>
          <w:szCs w:val="22"/>
        </w:rPr>
        <w:t>4</w:t>
      </w:r>
      <w:r>
        <w:rPr>
          <w:sz w:val="22"/>
          <w:szCs w:val="22"/>
        </w:rPr>
        <w:t xml:space="preserve"> include insignificant activities that must be included in the operating permit application </w:t>
      </w:r>
      <w:r w:rsidR="00223649">
        <w:rPr>
          <w:sz w:val="22"/>
          <w:szCs w:val="22"/>
        </w:rPr>
        <w:t>forms but</w:t>
      </w:r>
      <w:r>
        <w:rPr>
          <w:sz w:val="22"/>
          <w:szCs w:val="22"/>
        </w:rPr>
        <w:t xml:space="preserve"> could potentially be exempt from reporting under the emissions inventory program.</w:t>
      </w:r>
    </w:p>
    <w:p w14:paraId="5F036B2E" w14:textId="77777777" w:rsidR="00BD4EFE" w:rsidRDefault="006F02AC" w:rsidP="00834C0B">
      <w:pPr>
        <w:pStyle w:val="PlainText"/>
        <w:spacing w:after="120"/>
        <w:ind w:left="-240"/>
        <w:rPr>
          <w:sz w:val="22"/>
          <w:szCs w:val="22"/>
        </w:rPr>
      </w:pPr>
      <w:r w:rsidRPr="003277D2">
        <w:rPr>
          <w:sz w:val="22"/>
          <w:szCs w:val="22"/>
        </w:rPr>
        <w:t xml:space="preserve">Please note that, while </w:t>
      </w:r>
      <w:r w:rsidR="00875971">
        <w:rPr>
          <w:sz w:val="22"/>
          <w:szCs w:val="22"/>
        </w:rPr>
        <w:t xml:space="preserve">potentially </w:t>
      </w:r>
      <w:r w:rsidRPr="003277D2">
        <w:rPr>
          <w:sz w:val="22"/>
          <w:szCs w:val="22"/>
        </w:rPr>
        <w:t xml:space="preserve">exempt from </w:t>
      </w:r>
      <w:r w:rsidR="003839A9">
        <w:rPr>
          <w:sz w:val="22"/>
          <w:szCs w:val="22"/>
        </w:rPr>
        <w:t xml:space="preserve">inclusion in </w:t>
      </w:r>
      <w:r w:rsidR="00875971">
        <w:rPr>
          <w:sz w:val="22"/>
          <w:szCs w:val="22"/>
        </w:rPr>
        <w:t xml:space="preserve">an Operating Permit Application or </w:t>
      </w:r>
      <w:r w:rsidR="003839A9">
        <w:rPr>
          <w:sz w:val="22"/>
          <w:szCs w:val="22"/>
        </w:rPr>
        <w:t>the Annual Emissions Inventory Report</w:t>
      </w:r>
      <w:r w:rsidRPr="003277D2">
        <w:rPr>
          <w:sz w:val="22"/>
          <w:szCs w:val="22"/>
        </w:rPr>
        <w:t xml:space="preserve">, </w:t>
      </w:r>
      <w:r w:rsidRPr="000C22D5">
        <w:rPr>
          <w:b/>
          <w:sz w:val="22"/>
          <w:szCs w:val="22"/>
          <w:u w:val="single"/>
        </w:rPr>
        <w:t xml:space="preserve">all </w:t>
      </w:r>
      <w:r w:rsidR="00875971" w:rsidRPr="000C22D5">
        <w:rPr>
          <w:b/>
          <w:sz w:val="22"/>
          <w:szCs w:val="22"/>
          <w:u w:val="single"/>
        </w:rPr>
        <w:t xml:space="preserve">insignificant activities </w:t>
      </w:r>
      <w:r w:rsidRPr="000C22D5">
        <w:rPr>
          <w:b/>
          <w:sz w:val="22"/>
          <w:szCs w:val="22"/>
          <w:u w:val="single"/>
        </w:rPr>
        <w:t xml:space="preserve">listed in Parts </w:t>
      </w:r>
      <w:r w:rsidR="00BD4EFE" w:rsidRPr="000C22D5">
        <w:rPr>
          <w:b/>
          <w:sz w:val="22"/>
          <w:szCs w:val="22"/>
          <w:u w:val="single"/>
        </w:rPr>
        <w:t>1</w:t>
      </w:r>
      <w:r w:rsidR="00875971" w:rsidRPr="000C22D5">
        <w:rPr>
          <w:b/>
          <w:sz w:val="22"/>
          <w:szCs w:val="22"/>
          <w:u w:val="single"/>
        </w:rPr>
        <w:t xml:space="preserve"> </w:t>
      </w:r>
      <w:r w:rsidR="00CD73CE" w:rsidRPr="000C22D5">
        <w:rPr>
          <w:b/>
          <w:sz w:val="22"/>
          <w:szCs w:val="22"/>
          <w:u w:val="single"/>
        </w:rPr>
        <w:t>through</w:t>
      </w:r>
      <w:r w:rsidRPr="000C22D5">
        <w:rPr>
          <w:b/>
          <w:sz w:val="22"/>
          <w:szCs w:val="22"/>
          <w:u w:val="single"/>
        </w:rPr>
        <w:t xml:space="preserve"> 4 of </w:t>
      </w:r>
      <w:r w:rsidR="00CD73CE" w:rsidRPr="000C22D5">
        <w:rPr>
          <w:b/>
          <w:sz w:val="22"/>
          <w:szCs w:val="22"/>
          <w:u w:val="single"/>
        </w:rPr>
        <w:t>this form</w:t>
      </w:r>
      <w:r w:rsidRPr="000C22D5">
        <w:rPr>
          <w:b/>
          <w:sz w:val="22"/>
          <w:szCs w:val="22"/>
          <w:u w:val="single"/>
        </w:rPr>
        <w:t xml:space="preserve"> must</w:t>
      </w:r>
      <w:r w:rsidR="00842841" w:rsidRPr="000C22D5">
        <w:rPr>
          <w:b/>
          <w:sz w:val="22"/>
          <w:szCs w:val="22"/>
          <w:u w:val="single"/>
        </w:rPr>
        <w:t xml:space="preserve"> </w:t>
      </w:r>
      <w:r w:rsidRPr="000C22D5">
        <w:rPr>
          <w:b/>
          <w:sz w:val="22"/>
          <w:szCs w:val="22"/>
          <w:u w:val="single"/>
        </w:rPr>
        <w:t xml:space="preserve">still be included in the determination of whether a source must obtain a Class </w:t>
      </w:r>
      <w:r w:rsidR="00C920E3" w:rsidRPr="000C22D5">
        <w:rPr>
          <w:b/>
          <w:sz w:val="22"/>
          <w:szCs w:val="22"/>
          <w:u w:val="single"/>
        </w:rPr>
        <w:t>I or Class II operating permit.</w:t>
      </w:r>
      <w:r w:rsidR="00875971">
        <w:rPr>
          <w:sz w:val="22"/>
          <w:szCs w:val="22"/>
        </w:rPr>
        <w:t xml:space="preserve">  </w:t>
      </w:r>
    </w:p>
    <w:p w14:paraId="21339AB4" w14:textId="5C4FD42F" w:rsidR="007648B5" w:rsidRPr="00B41B99" w:rsidRDefault="00B41B99" w:rsidP="00834C0B">
      <w:pPr>
        <w:pStyle w:val="PlainText"/>
        <w:spacing w:after="120"/>
        <w:ind w:left="-240"/>
        <w:rPr>
          <w:b/>
          <w:sz w:val="24"/>
          <w:szCs w:val="24"/>
        </w:rPr>
      </w:pPr>
      <w:r>
        <w:rPr>
          <w:sz w:val="22"/>
          <w:szCs w:val="22"/>
        </w:rPr>
        <w:t>Also note that, o</w:t>
      </w:r>
      <w:r w:rsidR="00BD4EFE">
        <w:rPr>
          <w:sz w:val="22"/>
          <w:szCs w:val="22"/>
        </w:rPr>
        <w:t>nce the source classification has been determined</w:t>
      </w:r>
      <w:r>
        <w:rPr>
          <w:sz w:val="22"/>
          <w:szCs w:val="22"/>
        </w:rPr>
        <w:t xml:space="preserve"> by the permittee</w:t>
      </w:r>
      <w:r w:rsidR="00BD4EFE">
        <w:rPr>
          <w:sz w:val="22"/>
          <w:szCs w:val="22"/>
        </w:rPr>
        <w:t xml:space="preserve">, </w:t>
      </w:r>
      <w:r w:rsidR="00786F65" w:rsidRPr="00B41B99">
        <w:rPr>
          <w:b/>
          <w:sz w:val="24"/>
          <w:szCs w:val="24"/>
        </w:rPr>
        <w:t xml:space="preserve">any activity listed in Parts </w:t>
      </w:r>
      <w:r w:rsidR="00842841" w:rsidRPr="00B41B99">
        <w:rPr>
          <w:b/>
          <w:sz w:val="24"/>
          <w:szCs w:val="24"/>
        </w:rPr>
        <w:t>2</w:t>
      </w:r>
      <w:r w:rsidR="00786F65" w:rsidRPr="00B41B99">
        <w:rPr>
          <w:b/>
          <w:sz w:val="24"/>
          <w:szCs w:val="24"/>
        </w:rPr>
        <w:t xml:space="preserve"> through 4 of this form that emit</w:t>
      </w:r>
      <w:r w:rsidR="001D34AF" w:rsidRPr="00B41B99">
        <w:rPr>
          <w:b/>
          <w:sz w:val="24"/>
          <w:szCs w:val="24"/>
        </w:rPr>
        <w:t>s</w:t>
      </w:r>
      <w:r w:rsidR="00786F65" w:rsidRPr="00B41B99">
        <w:rPr>
          <w:b/>
          <w:sz w:val="24"/>
          <w:szCs w:val="24"/>
        </w:rPr>
        <w:t xml:space="preserve"> a pollutant(s) subject </w:t>
      </w:r>
      <w:r w:rsidR="00223649">
        <w:rPr>
          <w:b/>
          <w:sz w:val="24"/>
          <w:szCs w:val="24"/>
        </w:rPr>
        <w:t xml:space="preserve">to </w:t>
      </w:r>
      <w:r w:rsidR="00786F65" w:rsidRPr="00B41B99">
        <w:rPr>
          <w:b/>
          <w:sz w:val="24"/>
          <w:szCs w:val="24"/>
        </w:rPr>
        <w:t xml:space="preserve">a synthetic minor limitation is not an insignificant activity unless the source accepts further limitations on the potential emissions of the pollutant in question. </w:t>
      </w:r>
    </w:p>
    <w:p w14:paraId="53C2C0CF" w14:textId="0EFFC754" w:rsidR="004A75D1" w:rsidRPr="004A75D1" w:rsidRDefault="00786F65" w:rsidP="004A75D1">
      <w:pPr>
        <w:spacing w:after="120"/>
        <w:ind w:left="120"/>
        <w:rPr>
          <w:bCs/>
          <w:i/>
          <w:sz w:val="22"/>
          <w:szCs w:val="22"/>
        </w:rPr>
      </w:pPr>
      <w:r w:rsidRPr="00786F65">
        <w:rPr>
          <w:bCs/>
          <w:i/>
          <w:sz w:val="22"/>
          <w:szCs w:val="22"/>
        </w:rPr>
        <w:t xml:space="preserve">EXAMPLE: A source’s potential to emit (PTE) for a single </w:t>
      </w:r>
      <w:r w:rsidR="00F94288">
        <w:rPr>
          <w:bCs/>
          <w:i/>
          <w:sz w:val="22"/>
          <w:szCs w:val="22"/>
        </w:rPr>
        <w:t>hazardous air pollutant (</w:t>
      </w:r>
      <w:r w:rsidRPr="00786F65">
        <w:rPr>
          <w:bCs/>
          <w:i/>
          <w:sz w:val="22"/>
          <w:szCs w:val="22"/>
        </w:rPr>
        <w:t>HAP</w:t>
      </w:r>
      <w:r w:rsidR="00F94288">
        <w:rPr>
          <w:bCs/>
          <w:i/>
          <w:sz w:val="22"/>
          <w:szCs w:val="22"/>
        </w:rPr>
        <w:t>)</w:t>
      </w:r>
      <w:r w:rsidRPr="00786F65">
        <w:rPr>
          <w:bCs/>
          <w:i/>
          <w:sz w:val="22"/>
          <w:szCs w:val="22"/>
        </w:rPr>
        <w:t xml:space="preserve"> is 12.5 tons per year (</w:t>
      </w:r>
      <w:proofErr w:type="spellStart"/>
      <w:r w:rsidRPr="00786F65">
        <w:rPr>
          <w:bCs/>
          <w:i/>
          <w:sz w:val="22"/>
          <w:szCs w:val="22"/>
        </w:rPr>
        <w:t>tpy</w:t>
      </w:r>
      <w:proofErr w:type="spellEnd"/>
      <w:r w:rsidR="00223649">
        <w:rPr>
          <w:bCs/>
          <w:i/>
          <w:sz w:val="22"/>
          <w:szCs w:val="22"/>
        </w:rPr>
        <w:t>),</w:t>
      </w:r>
      <w:r w:rsidRPr="00786F65">
        <w:rPr>
          <w:bCs/>
          <w:i/>
          <w:sz w:val="22"/>
          <w:szCs w:val="22"/>
        </w:rPr>
        <w:t xml:space="preserve"> including 1.5 </w:t>
      </w:r>
      <w:proofErr w:type="spellStart"/>
      <w:r w:rsidRPr="00786F65">
        <w:rPr>
          <w:bCs/>
          <w:i/>
          <w:sz w:val="22"/>
          <w:szCs w:val="22"/>
        </w:rPr>
        <w:t>tpy</w:t>
      </w:r>
      <w:proofErr w:type="spellEnd"/>
      <w:r w:rsidRPr="00786F65">
        <w:rPr>
          <w:bCs/>
          <w:i/>
          <w:sz w:val="22"/>
          <w:szCs w:val="22"/>
        </w:rPr>
        <w:t xml:space="preserve"> from emissions units qualifying as insignificant</w:t>
      </w:r>
      <w:r w:rsidR="004A75D1">
        <w:rPr>
          <w:bCs/>
          <w:i/>
          <w:sz w:val="22"/>
          <w:szCs w:val="22"/>
        </w:rPr>
        <w:t xml:space="preserve"> activities identified i</w:t>
      </w:r>
      <w:r w:rsidR="00656FE9">
        <w:rPr>
          <w:bCs/>
          <w:i/>
          <w:sz w:val="22"/>
          <w:szCs w:val="22"/>
        </w:rPr>
        <w:t>n Parts 1 through 4 of this form.</w:t>
      </w:r>
      <w:r w:rsidRPr="00786F65">
        <w:rPr>
          <w:bCs/>
          <w:i/>
          <w:sz w:val="22"/>
          <w:szCs w:val="22"/>
        </w:rPr>
        <w:t xml:space="preserve"> </w:t>
      </w:r>
      <w:r w:rsidR="00656FE9">
        <w:rPr>
          <w:bCs/>
          <w:i/>
          <w:sz w:val="22"/>
          <w:szCs w:val="22"/>
        </w:rPr>
        <w:t>T</w:t>
      </w:r>
      <w:r w:rsidRPr="00786F65">
        <w:rPr>
          <w:bCs/>
          <w:i/>
          <w:sz w:val="22"/>
          <w:szCs w:val="22"/>
        </w:rPr>
        <w:t>he source wants to be synthetic minor for HAPs.  The source has two options, which are:</w:t>
      </w:r>
    </w:p>
    <w:p w14:paraId="716BA1BC" w14:textId="77777777" w:rsidR="004A75D1" w:rsidRPr="004A75D1" w:rsidRDefault="00786F65" w:rsidP="004A75D1">
      <w:pPr>
        <w:numPr>
          <w:ilvl w:val="0"/>
          <w:numId w:val="39"/>
        </w:numPr>
        <w:rPr>
          <w:bCs/>
          <w:i/>
          <w:sz w:val="22"/>
          <w:szCs w:val="22"/>
        </w:rPr>
      </w:pPr>
      <w:r w:rsidRPr="00786F65">
        <w:rPr>
          <w:i/>
          <w:sz w:val="22"/>
          <w:szCs w:val="22"/>
        </w:rPr>
        <w:t>Accept a limit of less than 10 tpy for all emissions units and keep records of the HAP emissions for all units</w:t>
      </w:r>
      <w:r w:rsidRPr="00786F65">
        <w:rPr>
          <w:bCs/>
          <w:i/>
          <w:sz w:val="22"/>
          <w:szCs w:val="22"/>
        </w:rPr>
        <w:t>; or,</w:t>
      </w:r>
    </w:p>
    <w:p w14:paraId="49288FA6" w14:textId="5178026A" w:rsidR="004A75D1" w:rsidRPr="004A75D1" w:rsidRDefault="00786F65" w:rsidP="004A75D1">
      <w:pPr>
        <w:pStyle w:val="Header"/>
        <w:numPr>
          <w:ilvl w:val="0"/>
          <w:numId w:val="39"/>
        </w:numPr>
        <w:tabs>
          <w:tab w:val="clear" w:pos="4320"/>
          <w:tab w:val="clear" w:pos="8640"/>
          <w:tab w:val="left" w:pos="720"/>
          <w:tab w:val="left" w:pos="1080"/>
        </w:tabs>
        <w:spacing w:after="120"/>
        <w:rPr>
          <w:i/>
          <w:sz w:val="22"/>
          <w:szCs w:val="22"/>
        </w:rPr>
      </w:pPr>
      <w:r w:rsidRPr="00786F65">
        <w:rPr>
          <w:bCs/>
          <w:i/>
          <w:sz w:val="22"/>
          <w:szCs w:val="22"/>
        </w:rPr>
        <w:t xml:space="preserve">Accept a limit of </w:t>
      </w:r>
      <w:r w:rsidRPr="00786F65">
        <w:rPr>
          <w:i/>
          <w:sz w:val="22"/>
          <w:szCs w:val="22"/>
        </w:rPr>
        <w:t>less than 8</w:t>
      </w:r>
      <w:r w:rsidR="000C22D5">
        <w:rPr>
          <w:bCs/>
          <w:i/>
          <w:sz w:val="22"/>
          <w:szCs w:val="22"/>
        </w:rPr>
        <w:t xml:space="preserve">.5 tpy, which allows </w:t>
      </w:r>
      <w:r w:rsidRPr="00786F65">
        <w:rPr>
          <w:bCs/>
          <w:i/>
          <w:sz w:val="22"/>
          <w:szCs w:val="22"/>
        </w:rPr>
        <w:t xml:space="preserve">the units </w:t>
      </w:r>
      <w:r w:rsidR="00223649" w:rsidRPr="00786F65">
        <w:rPr>
          <w:bCs/>
          <w:i/>
          <w:sz w:val="22"/>
          <w:szCs w:val="22"/>
        </w:rPr>
        <w:t>to be</w:t>
      </w:r>
      <w:r w:rsidRPr="00786F65">
        <w:rPr>
          <w:bCs/>
          <w:i/>
          <w:sz w:val="22"/>
          <w:szCs w:val="22"/>
        </w:rPr>
        <w:t xml:space="preserve"> considered insignificant activities.</w:t>
      </w:r>
    </w:p>
    <w:p w14:paraId="341BB1F1" w14:textId="686414EB" w:rsidR="007648B5" w:rsidRDefault="004A75D1" w:rsidP="00834C0B">
      <w:pPr>
        <w:pStyle w:val="PlainText"/>
        <w:spacing w:after="120"/>
        <w:ind w:left="-240"/>
        <w:rPr>
          <w:sz w:val="22"/>
          <w:szCs w:val="22"/>
        </w:rPr>
      </w:pPr>
      <w:r>
        <w:rPr>
          <w:sz w:val="22"/>
          <w:szCs w:val="22"/>
        </w:rPr>
        <w:t xml:space="preserve">In addition to insignificant activities listed </w:t>
      </w:r>
      <w:r w:rsidR="00F94288">
        <w:rPr>
          <w:sz w:val="22"/>
          <w:szCs w:val="22"/>
        </w:rPr>
        <w:t xml:space="preserve">in Parts 1 through 4 </w:t>
      </w:r>
      <w:r>
        <w:rPr>
          <w:sz w:val="22"/>
          <w:szCs w:val="22"/>
        </w:rPr>
        <w:t>that emit a regulated air pollutant subject to a synthetic minor emissions limitation</w:t>
      </w:r>
      <w:r w:rsidR="00157E37">
        <w:rPr>
          <w:sz w:val="22"/>
          <w:szCs w:val="22"/>
        </w:rPr>
        <w:t xml:space="preserve"> as described above</w:t>
      </w:r>
      <w:r>
        <w:rPr>
          <w:sz w:val="22"/>
          <w:szCs w:val="22"/>
        </w:rPr>
        <w:t xml:space="preserve">, </w:t>
      </w:r>
      <w:r w:rsidRPr="00B41B99">
        <w:rPr>
          <w:b/>
          <w:sz w:val="24"/>
          <w:szCs w:val="24"/>
        </w:rPr>
        <w:t>a</w:t>
      </w:r>
      <w:r w:rsidR="006F02AC" w:rsidRPr="00B41B99">
        <w:rPr>
          <w:b/>
          <w:sz w:val="24"/>
          <w:szCs w:val="24"/>
        </w:rPr>
        <w:t>ll emission units that are subject to</w:t>
      </w:r>
      <w:r w:rsidR="00B41B99">
        <w:rPr>
          <w:b/>
          <w:sz w:val="24"/>
          <w:szCs w:val="24"/>
        </w:rPr>
        <w:t xml:space="preserve"> applicable requirements, including</w:t>
      </w:r>
      <w:r w:rsidR="00F94288">
        <w:rPr>
          <w:b/>
          <w:sz w:val="24"/>
          <w:szCs w:val="24"/>
        </w:rPr>
        <w:t>,</w:t>
      </w:r>
      <w:r w:rsidR="00B41B99">
        <w:rPr>
          <w:b/>
          <w:sz w:val="24"/>
          <w:szCs w:val="24"/>
        </w:rPr>
        <w:t xml:space="preserve"> but not limited to</w:t>
      </w:r>
      <w:r w:rsidR="00F94288">
        <w:rPr>
          <w:b/>
          <w:sz w:val="24"/>
          <w:szCs w:val="24"/>
        </w:rPr>
        <w:t>,</w:t>
      </w:r>
      <w:r w:rsidR="00B41B99">
        <w:rPr>
          <w:b/>
          <w:sz w:val="24"/>
          <w:szCs w:val="24"/>
        </w:rPr>
        <w:t xml:space="preserve"> </w:t>
      </w:r>
      <w:r w:rsidR="006F02AC" w:rsidRPr="00B41B99">
        <w:rPr>
          <w:b/>
          <w:sz w:val="24"/>
          <w:szCs w:val="24"/>
        </w:rPr>
        <w:t>NSPS, NESHAP, and/or construction permit requirement</w:t>
      </w:r>
      <w:r w:rsidR="00B41B99">
        <w:rPr>
          <w:b/>
          <w:sz w:val="24"/>
          <w:szCs w:val="24"/>
        </w:rPr>
        <w:t>s,</w:t>
      </w:r>
      <w:r w:rsidR="006F02AC" w:rsidRPr="00B41B99">
        <w:rPr>
          <w:b/>
          <w:sz w:val="24"/>
          <w:szCs w:val="24"/>
        </w:rPr>
        <w:t xml:space="preserve"> </w:t>
      </w:r>
      <w:r w:rsidR="000C22D5" w:rsidRPr="000C22D5">
        <w:rPr>
          <w:b/>
          <w:sz w:val="24"/>
          <w:szCs w:val="24"/>
          <w:u w:val="single"/>
        </w:rPr>
        <w:t>can</w:t>
      </w:r>
      <w:r w:rsidR="006F02AC" w:rsidRPr="000C22D5">
        <w:rPr>
          <w:b/>
          <w:sz w:val="24"/>
          <w:szCs w:val="24"/>
          <w:u w:val="single"/>
        </w:rPr>
        <w:t xml:space="preserve">not </w:t>
      </w:r>
      <w:r w:rsidR="000C22D5" w:rsidRPr="000C22D5">
        <w:rPr>
          <w:b/>
          <w:sz w:val="24"/>
          <w:szCs w:val="24"/>
          <w:u w:val="single"/>
        </w:rPr>
        <w:t xml:space="preserve">be considered </w:t>
      </w:r>
      <w:r w:rsidR="006F02AC" w:rsidRPr="000C22D5">
        <w:rPr>
          <w:b/>
          <w:sz w:val="24"/>
          <w:szCs w:val="24"/>
          <w:u w:val="single"/>
        </w:rPr>
        <w:t>insignificant activities</w:t>
      </w:r>
      <w:r w:rsidR="000C22D5">
        <w:rPr>
          <w:sz w:val="24"/>
          <w:szCs w:val="24"/>
        </w:rPr>
        <w:t xml:space="preserve">, as Operating Permits are required to contain all applicable requirements (Title 129, Chapter </w:t>
      </w:r>
      <w:r w:rsidR="00A47B88">
        <w:rPr>
          <w:sz w:val="24"/>
          <w:szCs w:val="24"/>
        </w:rPr>
        <w:t>6</w:t>
      </w:r>
      <w:r w:rsidR="000C22D5">
        <w:rPr>
          <w:sz w:val="24"/>
          <w:szCs w:val="24"/>
        </w:rPr>
        <w:t>).</w:t>
      </w:r>
      <w:r w:rsidR="006F02AC" w:rsidRPr="003277D2">
        <w:rPr>
          <w:sz w:val="22"/>
          <w:szCs w:val="22"/>
        </w:rPr>
        <w:t xml:space="preserve"> </w:t>
      </w:r>
      <w:r w:rsidR="00C920E3">
        <w:rPr>
          <w:sz w:val="22"/>
          <w:szCs w:val="22"/>
        </w:rPr>
        <w:t xml:space="preserve"> </w:t>
      </w:r>
      <w:r w:rsidR="006F02AC" w:rsidRPr="003277D2">
        <w:rPr>
          <w:sz w:val="22"/>
          <w:szCs w:val="22"/>
        </w:rPr>
        <w:t>For those units subject to a</w:t>
      </w:r>
      <w:r w:rsidR="00B41B99">
        <w:rPr>
          <w:sz w:val="22"/>
          <w:szCs w:val="22"/>
        </w:rPr>
        <w:t>n applicable requirement</w:t>
      </w:r>
      <w:r w:rsidR="006F02AC" w:rsidRPr="003277D2">
        <w:rPr>
          <w:sz w:val="22"/>
          <w:szCs w:val="22"/>
        </w:rPr>
        <w:t xml:space="preserve">, you must assign an emission unit identification number, complete the appropriate emission unit application forms, and calculate and submit emissions as part of </w:t>
      </w:r>
      <w:r w:rsidR="00A56514">
        <w:rPr>
          <w:sz w:val="22"/>
          <w:szCs w:val="22"/>
        </w:rPr>
        <w:t xml:space="preserve">your application and </w:t>
      </w:r>
      <w:r w:rsidR="006F02AC" w:rsidRPr="003277D2">
        <w:rPr>
          <w:sz w:val="22"/>
          <w:szCs w:val="22"/>
        </w:rPr>
        <w:t>Annual E</w:t>
      </w:r>
      <w:r w:rsidR="00644FA0" w:rsidRPr="003277D2">
        <w:rPr>
          <w:sz w:val="22"/>
          <w:szCs w:val="22"/>
        </w:rPr>
        <w:t>mission Inventory Report</w:t>
      </w:r>
      <w:r w:rsidR="00A56514">
        <w:rPr>
          <w:sz w:val="22"/>
          <w:szCs w:val="22"/>
        </w:rPr>
        <w:t>s</w:t>
      </w:r>
      <w:r w:rsidR="00644FA0" w:rsidRPr="003277D2">
        <w:rPr>
          <w:sz w:val="22"/>
          <w:szCs w:val="22"/>
        </w:rPr>
        <w:t xml:space="preserve"> to </w:t>
      </w:r>
      <w:r w:rsidR="00A47B88">
        <w:rPr>
          <w:sz w:val="22"/>
          <w:szCs w:val="22"/>
        </w:rPr>
        <w:t>NDEE</w:t>
      </w:r>
      <w:r w:rsidR="00716C55">
        <w:rPr>
          <w:sz w:val="22"/>
          <w:szCs w:val="22"/>
        </w:rPr>
        <w:t>.</w:t>
      </w:r>
    </w:p>
    <w:p w14:paraId="25862DD7" w14:textId="77777777" w:rsidR="009224E4" w:rsidRPr="00AC2002" w:rsidRDefault="009224E4" w:rsidP="009224E4">
      <w:pPr>
        <w:ind w:left="-240"/>
        <w:rPr>
          <w:b/>
          <w:sz w:val="28"/>
          <w:szCs w:val="28"/>
        </w:rPr>
      </w:pPr>
      <w:r w:rsidRPr="00AC2002">
        <w:rPr>
          <w:b/>
          <w:sz w:val="28"/>
          <w:szCs w:val="28"/>
        </w:rPr>
        <w:lastRenderedPageBreak/>
        <w:t>INSTRUCTIONS:</w:t>
      </w:r>
    </w:p>
    <w:p w14:paraId="279948EE" w14:textId="77777777" w:rsidR="009224E4" w:rsidRDefault="009224E4" w:rsidP="009224E4">
      <w:pPr>
        <w:ind w:left="-240"/>
        <w:rPr>
          <w:b/>
          <w:sz w:val="28"/>
          <w:szCs w:val="28"/>
        </w:rPr>
      </w:pPr>
      <w:r w:rsidRPr="00AC2002">
        <w:rPr>
          <w:b/>
          <w:sz w:val="28"/>
          <w:szCs w:val="28"/>
        </w:rPr>
        <w:t>Section 1.</w:t>
      </w:r>
      <w:r>
        <w:rPr>
          <w:b/>
          <w:sz w:val="28"/>
          <w:szCs w:val="28"/>
        </w:rPr>
        <w:t>3</w:t>
      </w:r>
      <w:r w:rsidRPr="00AC2002">
        <w:rPr>
          <w:b/>
          <w:sz w:val="28"/>
          <w:szCs w:val="28"/>
        </w:rPr>
        <w:t xml:space="preserve">: </w:t>
      </w:r>
      <w:r>
        <w:rPr>
          <w:b/>
          <w:sz w:val="28"/>
          <w:szCs w:val="28"/>
        </w:rPr>
        <w:t>Insignificant Activities</w:t>
      </w:r>
    </w:p>
    <w:p w14:paraId="3E8F924D" w14:textId="77777777" w:rsidR="009224E4" w:rsidRDefault="009224E4" w:rsidP="00834C0B">
      <w:pPr>
        <w:pStyle w:val="PlainText"/>
        <w:spacing w:after="120"/>
        <w:ind w:left="-240"/>
        <w:rPr>
          <w:sz w:val="22"/>
          <w:szCs w:val="22"/>
        </w:rPr>
      </w:pPr>
    </w:p>
    <w:p w14:paraId="24EC6486" w14:textId="77777777" w:rsidR="00E9283A" w:rsidRDefault="00C56E17" w:rsidP="00834C0B">
      <w:pPr>
        <w:pStyle w:val="PlainText"/>
        <w:spacing w:after="120"/>
        <w:ind w:left="-240"/>
        <w:rPr>
          <w:sz w:val="22"/>
          <w:szCs w:val="22"/>
        </w:rPr>
      </w:pPr>
      <w:r>
        <w:rPr>
          <w:sz w:val="22"/>
          <w:szCs w:val="22"/>
        </w:rPr>
        <w:t xml:space="preserve">Engines can no longer be insignificant activities.  With the exception of stationary engines being tested at a stationary test cell/stand, all </w:t>
      </w:r>
      <w:r w:rsidR="00B41B99">
        <w:rPr>
          <w:sz w:val="22"/>
          <w:szCs w:val="22"/>
        </w:rPr>
        <w:t xml:space="preserve">stationary </w:t>
      </w:r>
      <w:r>
        <w:rPr>
          <w:sz w:val="22"/>
          <w:szCs w:val="22"/>
        </w:rPr>
        <w:t>engines</w:t>
      </w:r>
      <w:r w:rsidR="00E9283A">
        <w:rPr>
          <w:sz w:val="22"/>
          <w:szCs w:val="22"/>
        </w:rPr>
        <w:t xml:space="preserve"> are subject to NSPS, 40 CFR 60 Subpart IIII and/or</w:t>
      </w:r>
      <w:r>
        <w:rPr>
          <w:sz w:val="22"/>
          <w:szCs w:val="22"/>
        </w:rPr>
        <w:t xml:space="preserve"> NESHAP, 40 CFR 63 Subpart ZZZZ.  </w:t>
      </w:r>
      <w:r w:rsidR="000C22D5">
        <w:rPr>
          <w:sz w:val="22"/>
          <w:szCs w:val="22"/>
        </w:rPr>
        <w:t>Therefore, these applicable requirements must be addressed in the Operating Permit.</w:t>
      </w:r>
    </w:p>
    <w:p w14:paraId="1BD92646" w14:textId="77777777" w:rsidR="00157E37" w:rsidRDefault="00777009" w:rsidP="00834C0B">
      <w:pPr>
        <w:pStyle w:val="PlainText"/>
        <w:spacing w:after="120"/>
        <w:ind w:left="-240"/>
        <w:rPr>
          <w:sz w:val="22"/>
          <w:szCs w:val="22"/>
        </w:rPr>
      </w:pPr>
      <w:r>
        <w:rPr>
          <w:sz w:val="22"/>
          <w:szCs w:val="22"/>
        </w:rPr>
        <w:t>If you have engines that are moved around your source,</w:t>
      </w:r>
      <w:r w:rsidR="00716C55">
        <w:rPr>
          <w:sz w:val="22"/>
          <w:szCs w:val="22"/>
        </w:rPr>
        <w:t xml:space="preserve"> </w:t>
      </w:r>
      <w:r>
        <w:rPr>
          <w:sz w:val="22"/>
          <w:szCs w:val="22"/>
        </w:rPr>
        <w:t>review</w:t>
      </w:r>
      <w:r w:rsidR="00846E82">
        <w:rPr>
          <w:sz w:val="22"/>
          <w:szCs w:val="22"/>
        </w:rPr>
        <w:t xml:space="preserve"> the </w:t>
      </w:r>
      <w:r w:rsidR="00C920E3">
        <w:rPr>
          <w:sz w:val="22"/>
          <w:szCs w:val="22"/>
        </w:rPr>
        <w:t xml:space="preserve">following </w:t>
      </w:r>
      <w:r w:rsidR="00846E82">
        <w:rPr>
          <w:sz w:val="22"/>
          <w:szCs w:val="22"/>
        </w:rPr>
        <w:t>definition of a non</w:t>
      </w:r>
      <w:r w:rsidR="00716C55">
        <w:rPr>
          <w:sz w:val="22"/>
          <w:szCs w:val="22"/>
        </w:rPr>
        <w:t xml:space="preserve">road engine </w:t>
      </w:r>
      <w:r w:rsidR="00846E82">
        <w:rPr>
          <w:sz w:val="22"/>
          <w:szCs w:val="22"/>
        </w:rPr>
        <w:t>from</w:t>
      </w:r>
      <w:r w:rsidR="00716C55">
        <w:rPr>
          <w:sz w:val="22"/>
          <w:szCs w:val="22"/>
        </w:rPr>
        <w:t xml:space="preserve"> </w:t>
      </w:r>
      <w:r w:rsidRPr="00B11881">
        <w:rPr>
          <w:sz w:val="22"/>
          <w:szCs w:val="22"/>
        </w:rPr>
        <w:t xml:space="preserve">40 </w:t>
      </w:r>
      <w:smartTag w:uri="urn:schemas-microsoft-com:office:smarttags" w:element="stockticker">
        <w:r w:rsidRPr="00B11881">
          <w:rPr>
            <w:sz w:val="22"/>
            <w:szCs w:val="22"/>
          </w:rPr>
          <w:t>CFR</w:t>
        </w:r>
      </w:smartTag>
      <w:r w:rsidRPr="00B11881">
        <w:rPr>
          <w:sz w:val="22"/>
          <w:szCs w:val="22"/>
        </w:rPr>
        <w:t xml:space="preserve"> 89.2 and 40 </w:t>
      </w:r>
      <w:smartTag w:uri="urn:schemas-microsoft-com:office:smarttags" w:element="stockticker">
        <w:r w:rsidRPr="00B11881">
          <w:rPr>
            <w:sz w:val="22"/>
            <w:szCs w:val="22"/>
          </w:rPr>
          <w:t>CFR</w:t>
        </w:r>
      </w:smartTag>
      <w:r>
        <w:rPr>
          <w:sz w:val="22"/>
          <w:szCs w:val="22"/>
        </w:rPr>
        <w:t xml:space="preserve"> 1068.3:</w:t>
      </w:r>
    </w:p>
    <w:p w14:paraId="749E0ABE" w14:textId="77777777" w:rsidR="00786F65" w:rsidRDefault="00846E82" w:rsidP="00786F65">
      <w:pPr>
        <w:spacing w:after="120"/>
        <w:ind w:left="450" w:hanging="450"/>
        <w:rPr>
          <w:sz w:val="22"/>
          <w:szCs w:val="22"/>
        </w:rPr>
      </w:pPr>
      <w:r>
        <w:rPr>
          <w:sz w:val="22"/>
          <w:szCs w:val="22"/>
        </w:rPr>
        <w:t>(1)</w:t>
      </w:r>
      <w:r>
        <w:rPr>
          <w:sz w:val="22"/>
          <w:szCs w:val="22"/>
        </w:rPr>
        <w:tab/>
      </w:r>
      <w:r w:rsidR="00777009" w:rsidRPr="00846E82">
        <w:rPr>
          <w:sz w:val="22"/>
          <w:szCs w:val="22"/>
        </w:rPr>
        <w:t>Except as discussed in paragraph (2) of this definition, a nonroad engine is any internal combustion engine:</w:t>
      </w:r>
    </w:p>
    <w:p w14:paraId="6E0F0784" w14:textId="77777777" w:rsidR="00777009" w:rsidRPr="00846E82" w:rsidRDefault="00846E82" w:rsidP="00846E82">
      <w:pPr>
        <w:pStyle w:val="NormalWeb"/>
        <w:spacing w:before="0" w:beforeAutospacing="0" w:after="120" w:afterAutospacing="0"/>
        <w:ind w:left="960" w:hanging="480"/>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777009" w:rsidRPr="00846E82">
        <w:rPr>
          <w:sz w:val="22"/>
          <w:szCs w:val="22"/>
        </w:rPr>
        <w:t>In or on a piece of equipment that is self-propelled or serves a dual purpose by both propelling itself and performing another function (such as garden tractors, off-highway mobile cranes and bulldozers); or</w:t>
      </w:r>
    </w:p>
    <w:p w14:paraId="51A053C1" w14:textId="77777777" w:rsidR="00777009" w:rsidRPr="00846E82" w:rsidRDefault="00846E82" w:rsidP="00846E82">
      <w:pPr>
        <w:pStyle w:val="NormalWeb"/>
        <w:spacing w:before="0" w:beforeAutospacing="0" w:after="120" w:afterAutospacing="0"/>
        <w:ind w:left="960" w:hanging="480"/>
        <w:rPr>
          <w:sz w:val="22"/>
          <w:szCs w:val="22"/>
        </w:rPr>
      </w:pPr>
      <w:r>
        <w:rPr>
          <w:sz w:val="22"/>
          <w:szCs w:val="22"/>
        </w:rPr>
        <w:t>(ii)</w:t>
      </w:r>
      <w:r>
        <w:rPr>
          <w:sz w:val="22"/>
          <w:szCs w:val="22"/>
        </w:rPr>
        <w:tab/>
      </w:r>
      <w:r w:rsidR="00777009" w:rsidRPr="00846E82">
        <w:rPr>
          <w:sz w:val="22"/>
          <w:szCs w:val="22"/>
        </w:rPr>
        <w:t>In or on a piece of equipment that is intended to be propelled while performing its function (such as lawnmowers and string trimmers); or</w:t>
      </w:r>
    </w:p>
    <w:p w14:paraId="0EB9F63F" w14:textId="34812854" w:rsidR="00777009" w:rsidRPr="00846E82" w:rsidRDefault="00846E82" w:rsidP="00846E82">
      <w:pPr>
        <w:pStyle w:val="NormalWeb"/>
        <w:spacing w:before="0" w:beforeAutospacing="0" w:after="120" w:afterAutospacing="0"/>
        <w:ind w:left="960" w:hanging="480"/>
        <w:rPr>
          <w:sz w:val="22"/>
          <w:szCs w:val="22"/>
        </w:rPr>
      </w:pPr>
      <w:r>
        <w:rPr>
          <w:sz w:val="22"/>
          <w:szCs w:val="22"/>
        </w:rPr>
        <w:t>(iii)</w:t>
      </w:r>
      <w:r>
        <w:rPr>
          <w:sz w:val="22"/>
          <w:szCs w:val="22"/>
        </w:rPr>
        <w:tab/>
      </w:r>
      <w:r w:rsidR="00777009" w:rsidRPr="00846E82">
        <w:rPr>
          <w:sz w:val="22"/>
          <w:szCs w:val="22"/>
        </w:rPr>
        <w:t xml:space="preserve">That, by itself or in or on a piece of equipment, is portable or transportable, meaning designed to be and capable of being carried or moved from one location to another. </w:t>
      </w:r>
      <w:r w:rsidR="00223649">
        <w:rPr>
          <w:sz w:val="22"/>
          <w:szCs w:val="22"/>
        </w:rPr>
        <w:t xml:space="preserve">Characteristics </w:t>
      </w:r>
      <w:r w:rsidR="00777009" w:rsidRPr="00846E82">
        <w:rPr>
          <w:sz w:val="22"/>
          <w:szCs w:val="22"/>
        </w:rPr>
        <w:t>of transportability include, but are not limited to, wheels, skids, carrying handles, dolly, trailer, or platform.</w:t>
      </w:r>
    </w:p>
    <w:p w14:paraId="0F288E48" w14:textId="77777777" w:rsidR="00777009" w:rsidRPr="00846E82" w:rsidRDefault="00846E82" w:rsidP="00846E82">
      <w:pPr>
        <w:pStyle w:val="NormalWeb"/>
        <w:spacing w:before="0" w:beforeAutospacing="0" w:after="120" w:afterAutospacing="0"/>
        <w:ind w:left="480" w:hanging="480"/>
        <w:rPr>
          <w:sz w:val="22"/>
          <w:szCs w:val="22"/>
        </w:rPr>
      </w:pPr>
      <w:r>
        <w:rPr>
          <w:sz w:val="22"/>
          <w:szCs w:val="22"/>
        </w:rPr>
        <w:t>(2)</w:t>
      </w:r>
      <w:r>
        <w:rPr>
          <w:sz w:val="22"/>
          <w:szCs w:val="22"/>
        </w:rPr>
        <w:tab/>
      </w:r>
      <w:r w:rsidR="00777009" w:rsidRPr="00846E82">
        <w:rPr>
          <w:sz w:val="22"/>
          <w:szCs w:val="22"/>
        </w:rPr>
        <w:t>An internal combustion engine is not a nonroad engine if:</w:t>
      </w:r>
    </w:p>
    <w:p w14:paraId="21E706E5" w14:textId="77777777" w:rsidR="00777009" w:rsidRPr="00846E82" w:rsidRDefault="00846E82" w:rsidP="00846E82">
      <w:pPr>
        <w:pStyle w:val="NormalWeb"/>
        <w:spacing w:before="0" w:beforeAutospacing="0" w:after="120" w:afterAutospacing="0"/>
        <w:ind w:left="960" w:hanging="480"/>
        <w:rPr>
          <w:sz w:val="22"/>
          <w:szCs w:val="22"/>
        </w:rPr>
      </w:pPr>
      <w:r>
        <w:rPr>
          <w:sz w:val="22"/>
          <w:szCs w:val="22"/>
        </w:rPr>
        <w:t>(</w:t>
      </w:r>
      <w:proofErr w:type="spellStart"/>
      <w:r>
        <w:rPr>
          <w:sz w:val="22"/>
          <w:szCs w:val="22"/>
        </w:rPr>
        <w:t>i</w:t>
      </w:r>
      <w:proofErr w:type="spellEnd"/>
      <w:r>
        <w:rPr>
          <w:sz w:val="22"/>
          <w:szCs w:val="22"/>
        </w:rPr>
        <w:t>)</w:t>
      </w:r>
      <w:r>
        <w:rPr>
          <w:sz w:val="22"/>
          <w:szCs w:val="22"/>
        </w:rPr>
        <w:tab/>
        <w:t>T</w:t>
      </w:r>
      <w:r w:rsidR="00777009" w:rsidRPr="00846E82">
        <w:rPr>
          <w:sz w:val="22"/>
          <w:szCs w:val="22"/>
        </w:rPr>
        <w:t>he engine is used to propel a motor vehicle or a vehicle used solely for competition, or is subject to standards promulgated under section 202 of the Act; or</w:t>
      </w:r>
    </w:p>
    <w:p w14:paraId="37005582" w14:textId="77777777" w:rsidR="00777009" w:rsidRPr="00846E82" w:rsidRDefault="00846E82" w:rsidP="00846E82">
      <w:pPr>
        <w:pStyle w:val="NormalWeb"/>
        <w:spacing w:before="0" w:beforeAutospacing="0" w:after="120" w:afterAutospacing="0"/>
        <w:ind w:left="960" w:hanging="480"/>
        <w:rPr>
          <w:sz w:val="22"/>
          <w:szCs w:val="22"/>
        </w:rPr>
      </w:pPr>
      <w:r>
        <w:rPr>
          <w:sz w:val="22"/>
          <w:szCs w:val="22"/>
        </w:rPr>
        <w:t>(ii)</w:t>
      </w:r>
      <w:r>
        <w:rPr>
          <w:sz w:val="22"/>
          <w:szCs w:val="22"/>
        </w:rPr>
        <w:tab/>
        <w:t>T</w:t>
      </w:r>
      <w:r w:rsidR="00777009" w:rsidRPr="00846E82">
        <w:rPr>
          <w:sz w:val="22"/>
          <w:szCs w:val="22"/>
        </w:rPr>
        <w:t>he engine is regulated by a federal New Source Performance Standard promulgated under section 111 of the Act; or</w:t>
      </w:r>
    </w:p>
    <w:p w14:paraId="22DD3FA9" w14:textId="77777777" w:rsidR="00777009" w:rsidRDefault="00846E82" w:rsidP="00846E82">
      <w:pPr>
        <w:pStyle w:val="NormalWeb"/>
        <w:spacing w:before="0" w:beforeAutospacing="0" w:after="120" w:afterAutospacing="0"/>
        <w:ind w:left="960" w:hanging="480"/>
        <w:rPr>
          <w:sz w:val="22"/>
          <w:szCs w:val="22"/>
        </w:rPr>
      </w:pPr>
      <w:r>
        <w:rPr>
          <w:sz w:val="22"/>
          <w:szCs w:val="22"/>
        </w:rPr>
        <w:t>(iii)</w:t>
      </w:r>
      <w:r>
        <w:rPr>
          <w:sz w:val="22"/>
          <w:szCs w:val="22"/>
        </w:rPr>
        <w:tab/>
        <w:t>T</w:t>
      </w:r>
      <w:r w:rsidR="00777009" w:rsidRPr="00846E82">
        <w:rPr>
          <w:sz w:val="22"/>
          <w:szCs w:val="22"/>
        </w:rPr>
        <w:t>he engine otherwise included in paragraph (1)(iii) of this definition remains or will remain at a location for more than 12 consecutive months or a shorter period of time for an engine located at a seasonal source.</w:t>
      </w:r>
      <w:r w:rsidR="00C920E3">
        <w:rPr>
          <w:sz w:val="22"/>
          <w:szCs w:val="22"/>
        </w:rPr>
        <w:t xml:space="preserve"> </w:t>
      </w:r>
      <w:r w:rsidR="00777009" w:rsidRPr="00846E82">
        <w:rPr>
          <w:sz w:val="22"/>
          <w:szCs w:val="22"/>
        </w:rPr>
        <w:t xml:space="preserve"> A location is any single site at a building, structure, facility, or installation. Any engine (or engines) that replaces an engine at a location and that is intended to perform the same or similar function as the engine replaced will be included in calculating the consecutive time period. </w:t>
      </w:r>
      <w:r w:rsidR="00C920E3">
        <w:rPr>
          <w:sz w:val="22"/>
          <w:szCs w:val="22"/>
        </w:rPr>
        <w:t xml:space="preserve"> </w:t>
      </w:r>
      <w:r w:rsidR="00777009" w:rsidRPr="00846E82">
        <w:rPr>
          <w:sz w:val="22"/>
          <w:szCs w:val="22"/>
        </w:rPr>
        <w:t xml:space="preserve">An engine located at a seasonal source is an engine that remains at a seasonal source during the full annual operating period of the seasonal source. </w:t>
      </w:r>
      <w:r w:rsidR="00C920E3">
        <w:rPr>
          <w:sz w:val="22"/>
          <w:szCs w:val="22"/>
        </w:rPr>
        <w:t xml:space="preserve"> </w:t>
      </w:r>
      <w:r w:rsidR="00777009" w:rsidRPr="00846E82">
        <w:rPr>
          <w:sz w:val="22"/>
          <w:szCs w:val="22"/>
        </w:rPr>
        <w:t xml:space="preserve">A seasonal source is a stationary source that remains in a single location on a permanent basis (i.e., at least two years) and that operates at that single location approximately three months (or more) each year. </w:t>
      </w:r>
      <w:r w:rsidR="00C920E3">
        <w:rPr>
          <w:sz w:val="22"/>
          <w:szCs w:val="22"/>
        </w:rPr>
        <w:t xml:space="preserve"> </w:t>
      </w:r>
      <w:r w:rsidR="00777009" w:rsidRPr="00846E82">
        <w:rPr>
          <w:sz w:val="22"/>
          <w:szCs w:val="22"/>
        </w:rPr>
        <w:t>This paragraph does not apply to an engine after the engine is removed from the location.</w:t>
      </w:r>
    </w:p>
    <w:p w14:paraId="1CDFEB4C" w14:textId="7C093B65" w:rsidR="00603099" w:rsidRDefault="00152188" w:rsidP="00846E82">
      <w:pPr>
        <w:pStyle w:val="NormalWeb"/>
        <w:spacing w:before="0" w:beforeAutospacing="0" w:after="120" w:afterAutospacing="0"/>
        <w:ind w:left="-240"/>
        <w:rPr>
          <w:sz w:val="22"/>
          <w:szCs w:val="22"/>
        </w:rPr>
      </w:pPr>
      <w:r>
        <w:rPr>
          <w:sz w:val="22"/>
          <w:szCs w:val="22"/>
        </w:rPr>
        <w:t xml:space="preserve">For purposes of the above paragraph, the 12-month timeframe does not apply to an engine that is kept at a staging area/storage.  For example, if an emergency generator is kept in a building for deployment when needed, the time it spends </w:t>
      </w:r>
      <w:r w:rsidR="000C22D5">
        <w:rPr>
          <w:sz w:val="22"/>
          <w:szCs w:val="22"/>
        </w:rPr>
        <w:t xml:space="preserve">idle </w:t>
      </w:r>
      <w:r>
        <w:rPr>
          <w:sz w:val="22"/>
          <w:szCs w:val="22"/>
        </w:rPr>
        <w:t xml:space="preserve">in storage is not counted.  Only the timeframe when the emergency engine is at its point of use should be counted.  </w:t>
      </w:r>
      <w:r w:rsidR="00846E82">
        <w:rPr>
          <w:sz w:val="22"/>
          <w:szCs w:val="22"/>
        </w:rPr>
        <w:t>If you have one or more engines that meet the definition of a nonroad engine, complete Form 6.0, Section 6.2.2.  These engines will not be included in your operating permit but will be discussed briefly in the fact sheet.</w:t>
      </w:r>
      <w:r w:rsidR="003A0E7E">
        <w:rPr>
          <w:sz w:val="22"/>
          <w:szCs w:val="22"/>
        </w:rPr>
        <w:t xml:space="preserve">  You do not have to report nonroad </w:t>
      </w:r>
      <w:r>
        <w:rPr>
          <w:sz w:val="22"/>
          <w:szCs w:val="22"/>
        </w:rPr>
        <w:t xml:space="preserve">engine </w:t>
      </w:r>
      <w:r w:rsidR="003A0E7E">
        <w:rPr>
          <w:sz w:val="22"/>
          <w:szCs w:val="22"/>
        </w:rPr>
        <w:t>emissions in your Annual Emissions Inventory Reports.</w:t>
      </w:r>
    </w:p>
    <w:p w14:paraId="09388708" w14:textId="77777777" w:rsidR="00603099" w:rsidRDefault="00603099">
      <w:pPr>
        <w:rPr>
          <w:sz w:val="22"/>
          <w:szCs w:val="22"/>
        </w:rPr>
      </w:pPr>
      <w:r>
        <w:rPr>
          <w:sz w:val="22"/>
          <w:szCs w:val="22"/>
        </w:rPr>
        <w:br w:type="page"/>
      </w:r>
    </w:p>
    <w:p w14:paraId="58E7ABE3" w14:textId="77777777" w:rsidR="009224E4" w:rsidRPr="00AC2002" w:rsidRDefault="009224E4" w:rsidP="009224E4">
      <w:pPr>
        <w:ind w:left="-240"/>
        <w:rPr>
          <w:b/>
          <w:sz w:val="28"/>
          <w:szCs w:val="28"/>
        </w:rPr>
      </w:pPr>
      <w:r w:rsidRPr="00AC2002">
        <w:rPr>
          <w:b/>
          <w:sz w:val="28"/>
          <w:szCs w:val="28"/>
        </w:rPr>
        <w:lastRenderedPageBreak/>
        <w:t>INSTRUCTIONS:</w:t>
      </w:r>
    </w:p>
    <w:p w14:paraId="4AB9F8CF" w14:textId="77777777" w:rsidR="009224E4" w:rsidRDefault="009224E4" w:rsidP="009224E4">
      <w:pPr>
        <w:ind w:left="-240"/>
        <w:rPr>
          <w:b/>
          <w:sz w:val="28"/>
          <w:szCs w:val="28"/>
        </w:rPr>
      </w:pPr>
      <w:r w:rsidRPr="00AC2002">
        <w:rPr>
          <w:b/>
          <w:sz w:val="28"/>
          <w:szCs w:val="28"/>
        </w:rPr>
        <w:t>Section 1.</w:t>
      </w:r>
      <w:r>
        <w:rPr>
          <w:b/>
          <w:sz w:val="28"/>
          <w:szCs w:val="28"/>
        </w:rPr>
        <w:t>3</w:t>
      </w:r>
      <w:r w:rsidRPr="00AC2002">
        <w:rPr>
          <w:b/>
          <w:sz w:val="28"/>
          <w:szCs w:val="28"/>
        </w:rPr>
        <w:t xml:space="preserve">: </w:t>
      </w:r>
      <w:r>
        <w:rPr>
          <w:b/>
          <w:sz w:val="28"/>
          <w:szCs w:val="28"/>
        </w:rPr>
        <w:t>Insignificant Activities</w:t>
      </w:r>
    </w:p>
    <w:p w14:paraId="5B8AF2C4" w14:textId="77777777" w:rsidR="009224E4" w:rsidRDefault="009224E4" w:rsidP="00861678">
      <w:pPr>
        <w:spacing w:after="120"/>
        <w:rPr>
          <w:b/>
          <w:caps/>
          <w:sz w:val="22"/>
          <w:szCs w:val="22"/>
          <w:u w:val="single"/>
        </w:rPr>
      </w:pPr>
    </w:p>
    <w:p w14:paraId="7C9033AC" w14:textId="77777777" w:rsidR="00996B45" w:rsidRPr="00996B45" w:rsidRDefault="00786F65" w:rsidP="00861678">
      <w:pPr>
        <w:spacing w:after="120"/>
        <w:rPr>
          <w:b/>
          <w:caps/>
          <w:sz w:val="22"/>
          <w:szCs w:val="22"/>
          <w:u w:val="single"/>
        </w:rPr>
      </w:pPr>
      <w:r w:rsidRPr="00786F65">
        <w:rPr>
          <w:b/>
          <w:caps/>
          <w:sz w:val="22"/>
          <w:szCs w:val="22"/>
          <w:u w:val="single"/>
        </w:rPr>
        <w:t>Part 1:</w:t>
      </w:r>
    </w:p>
    <w:p w14:paraId="431B51F5" w14:textId="3BF9B8F6" w:rsidR="00786F65" w:rsidRDefault="00D64EF1" w:rsidP="00861678">
      <w:pPr>
        <w:pStyle w:val="PlainText"/>
        <w:spacing w:after="120"/>
        <w:ind w:left="90"/>
        <w:rPr>
          <w:sz w:val="22"/>
          <w:szCs w:val="22"/>
        </w:rPr>
      </w:pPr>
      <w:r>
        <w:rPr>
          <w:sz w:val="22"/>
          <w:szCs w:val="22"/>
        </w:rPr>
        <w:t xml:space="preserve">In accordance with Title 129, Chapter </w:t>
      </w:r>
      <w:r w:rsidR="00A47B88">
        <w:rPr>
          <w:sz w:val="22"/>
          <w:szCs w:val="22"/>
        </w:rPr>
        <w:t>6</w:t>
      </w:r>
      <w:r>
        <w:rPr>
          <w:sz w:val="22"/>
          <w:szCs w:val="22"/>
        </w:rPr>
        <w:t xml:space="preserve">, Section </w:t>
      </w:r>
      <w:r w:rsidR="00A47B88">
        <w:rPr>
          <w:sz w:val="22"/>
          <w:szCs w:val="22"/>
          <w:u w:val="single"/>
        </w:rPr>
        <w:t>002</w:t>
      </w:r>
      <w:r>
        <w:rPr>
          <w:sz w:val="22"/>
          <w:szCs w:val="22"/>
          <w:u w:val="single"/>
        </w:rPr>
        <w:t>.</w:t>
      </w:r>
      <w:r w:rsidR="00A47B88">
        <w:rPr>
          <w:sz w:val="22"/>
          <w:szCs w:val="22"/>
          <w:u w:val="single"/>
        </w:rPr>
        <w:t>05C</w:t>
      </w:r>
      <w:r>
        <w:rPr>
          <w:sz w:val="22"/>
          <w:szCs w:val="22"/>
        </w:rPr>
        <w:t>, the</w:t>
      </w:r>
      <w:r w:rsidR="00C7764A" w:rsidRPr="003277D2">
        <w:rPr>
          <w:sz w:val="22"/>
          <w:szCs w:val="22"/>
        </w:rPr>
        <w:t xml:space="preserve"> </w:t>
      </w:r>
      <w:r w:rsidR="00A47B88">
        <w:rPr>
          <w:sz w:val="22"/>
          <w:szCs w:val="22"/>
        </w:rPr>
        <w:t xml:space="preserve">NDEE </w:t>
      </w:r>
      <w:r>
        <w:rPr>
          <w:sz w:val="22"/>
          <w:szCs w:val="22"/>
        </w:rPr>
        <w:t xml:space="preserve">has determined that the </w:t>
      </w:r>
      <w:r w:rsidR="00C7764A" w:rsidRPr="003277D2">
        <w:rPr>
          <w:sz w:val="22"/>
          <w:szCs w:val="22"/>
        </w:rPr>
        <w:t xml:space="preserve">following </w:t>
      </w:r>
      <w:r w:rsidR="00996B45">
        <w:rPr>
          <w:sz w:val="22"/>
          <w:szCs w:val="22"/>
        </w:rPr>
        <w:t xml:space="preserve">insignificant </w:t>
      </w:r>
      <w:r w:rsidR="00C7764A" w:rsidRPr="003277D2">
        <w:rPr>
          <w:sz w:val="22"/>
          <w:szCs w:val="22"/>
        </w:rPr>
        <w:t>activities are e</w:t>
      </w:r>
      <w:r w:rsidR="007648B5" w:rsidRPr="003277D2">
        <w:rPr>
          <w:sz w:val="22"/>
          <w:szCs w:val="22"/>
        </w:rPr>
        <w:t xml:space="preserve">xempt from </w:t>
      </w:r>
      <w:r w:rsidR="006F02AC" w:rsidRPr="003277D2">
        <w:rPr>
          <w:sz w:val="22"/>
          <w:szCs w:val="22"/>
        </w:rPr>
        <w:t>inclusion in the Operating Permit Application and Ann</w:t>
      </w:r>
      <w:r w:rsidR="007648B5" w:rsidRPr="003277D2">
        <w:rPr>
          <w:sz w:val="22"/>
          <w:szCs w:val="22"/>
        </w:rPr>
        <w:t>ual Emissions Inventory Reports</w:t>
      </w:r>
      <w:r w:rsidR="00C7764A" w:rsidRPr="003277D2">
        <w:rPr>
          <w:sz w:val="22"/>
          <w:szCs w:val="22"/>
        </w:rPr>
        <w:t>.</w:t>
      </w:r>
      <w:r w:rsidR="001208A9">
        <w:rPr>
          <w:sz w:val="22"/>
          <w:szCs w:val="22"/>
        </w:rPr>
        <w:t xml:space="preserve">  Please note that these activities are in no way absolved from fulfilling any other applicable requirements.  The </w:t>
      </w:r>
      <w:r w:rsidR="00A47B88">
        <w:rPr>
          <w:sz w:val="22"/>
          <w:szCs w:val="22"/>
        </w:rPr>
        <w:t xml:space="preserve">NDEE </w:t>
      </w:r>
      <w:r w:rsidR="001208A9">
        <w:rPr>
          <w:sz w:val="22"/>
          <w:szCs w:val="22"/>
        </w:rPr>
        <w:t>may request additional information about any activity exempted by this list, and the permittee is obligated to provide the information requested.</w:t>
      </w:r>
    </w:p>
    <w:p w14:paraId="0A24033E" w14:textId="77777777" w:rsidR="006F02AC" w:rsidRPr="003277D2" w:rsidRDefault="006F02AC" w:rsidP="005379B8">
      <w:pPr>
        <w:pStyle w:val="Header"/>
        <w:numPr>
          <w:ilvl w:val="0"/>
          <w:numId w:val="25"/>
        </w:numPr>
        <w:tabs>
          <w:tab w:val="clear" w:pos="630"/>
          <w:tab w:val="clear" w:pos="4320"/>
          <w:tab w:val="clear" w:pos="8640"/>
        </w:tabs>
        <w:ind w:hanging="540"/>
        <w:rPr>
          <w:sz w:val="22"/>
          <w:szCs w:val="22"/>
        </w:rPr>
      </w:pPr>
      <w:r w:rsidRPr="003277D2">
        <w:rPr>
          <w:sz w:val="22"/>
          <w:szCs w:val="22"/>
        </w:rPr>
        <w:t>Office Activities, including operation of standard office equipment when such activities are conducted solely in support of the principal business activity, not including printers or businesses primarily involved in photographic reproduction</w:t>
      </w:r>
    </w:p>
    <w:p w14:paraId="229D0FD5"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Janitorial activities, services, and consumer use of janitorial products</w:t>
      </w:r>
    </w:p>
    <w:p w14:paraId="7E751B98"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Maintenance of processing equipment, machinery and/or control devices, buildings, grounds or facilities to maintain appearance or condition provided these activities are not conducted as part of a manufacturing process and do not trigger a permit modification</w:t>
      </w:r>
    </w:p>
    <w:p w14:paraId="6DB07F6A"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Portable, sealed storage containers that are not connected to a process unit or line by piping, transfer hoses, lines or valves, etc.</w:t>
      </w:r>
    </w:p>
    <w:p w14:paraId="2715069C"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Air conditioning units used for human comfort</w:t>
      </w:r>
    </w:p>
    <w:p w14:paraId="6CAB674F"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Ventilating units used for human comfort that do not exhaust air pollutants into the ambient air from any manufacturing, industrial, or commercial process.</w:t>
      </w:r>
    </w:p>
    <w:p w14:paraId="06A73D56"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Non-commercial food preparation</w:t>
      </w:r>
    </w:p>
    <w:p w14:paraId="58E8B4A1"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Laundry activities, except for dry-cleaning and steam boilers</w:t>
      </w:r>
    </w:p>
    <w:p w14:paraId="72665AA7"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Tobacco smoking rooms and areas</w:t>
      </w:r>
    </w:p>
    <w:p w14:paraId="5BB0B486"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Batteries and battery charging stations, except at battery manufacturing plants</w:t>
      </w:r>
    </w:p>
    <w:p w14:paraId="250A5C43" w14:textId="77777777" w:rsidR="00F458D6" w:rsidRPr="003277D2" w:rsidRDefault="00F458D6" w:rsidP="005379B8">
      <w:pPr>
        <w:pStyle w:val="Header"/>
        <w:numPr>
          <w:ilvl w:val="0"/>
          <w:numId w:val="25"/>
        </w:numPr>
        <w:tabs>
          <w:tab w:val="clear" w:pos="4320"/>
          <w:tab w:val="clear" w:pos="8640"/>
        </w:tabs>
        <w:ind w:hanging="540"/>
        <w:rPr>
          <w:sz w:val="22"/>
          <w:szCs w:val="22"/>
        </w:rPr>
      </w:pPr>
      <w:r w:rsidRPr="003277D2">
        <w:rPr>
          <w:sz w:val="22"/>
          <w:szCs w:val="22"/>
        </w:rPr>
        <w:t>Equipment used to mix and package items such as soaps, vegetable oil, grease, animal fat, and nonvolatile aqueous salt solutions, provided appropriate lids and covers are utilized.</w:t>
      </w:r>
    </w:p>
    <w:p w14:paraId="1982392E"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Equipment used exclusively to slaughter animals</w:t>
      </w:r>
    </w:p>
    <w:p w14:paraId="33D84E16" w14:textId="77777777" w:rsidR="006F02AC" w:rsidRPr="003277D2" w:rsidRDefault="006F02AC" w:rsidP="005379B8">
      <w:pPr>
        <w:pStyle w:val="Header"/>
        <w:numPr>
          <w:ilvl w:val="0"/>
          <w:numId w:val="25"/>
        </w:numPr>
        <w:tabs>
          <w:tab w:val="clear" w:pos="4320"/>
          <w:tab w:val="clear" w:pos="8640"/>
        </w:tabs>
        <w:ind w:hanging="540"/>
        <w:rPr>
          <w:sz w:val="22"/>
          <w:szCs w:val="22"/>
        </w:rPr>
      </w:pPr>
      <w:r w:rsidRPr="003277D2">
        <w:rPr>
          <w:sz w:val="22"/>
          <w:szCs w:val="22"/>
        </w:rPr>
        <w:t>Vents from continuous emissions monitors and other analyzers</w:t>
      </w:r>
    </w:p>
    <w:p w14:paraId="0C387A90" w14:textId="77777777" w:rsidR="006F02AC" w:rsidRPr="003277D2" w:rsidRDefault="006F02AC" w:rsidP="005379B8">
      <w:pPr>
        <w:numPr>
          <w:ilvl w:val="0"/>
          <w:numId w:val="25"/>
        </w:numPr>
        <w:ind w:hanging="540"/>
        <w:rPr>
          <w:bCs/>
          <w:sz w:val="22"/>
          <w:szCs w:val="22"/>
        </w:rPr>
      </w:pPr>
      <w:r w:rsidRPr="003277D2">
        <w:rPr>
          <w:bCs/>
          <w:sz w:val="22"/>
          <w:szCs w:val="22"/>
        </w:rPr>
        <w:t xml:space="preserve">Hot melt adhesives with no </w:t>
      </w:r>
      <w:r w:rsidR="00612CCC">
        <w:rPr>
          <w:bCs/>
          <w:sz w:val="22"/>
          <w:szCs w:val="22"/>
        </w:rPr>
        <w:t>volatile organic compounds (</w:t>
      </w:r>
      <w:r w:rsidRPr="003277D2">
        <w:rPr>
          <w:bCs/>
          <w:sz w:val="22"/>
          <w:szCs w:val="22"/>
        </w:rPr>
        <w:t>VOC</w:t>
      </w:r>
      <w:r w:rsidR="00612CCC">
        <w:rPr>
          <w:bCs/>
          <w:sz w:val="22"/>
          <w:szCs w:val="22"/>
        </w:rPr>
        <w:t>)</w:t>
      </w:r>
      <w:r w:rsidRPr="003277D2">
        <w:rPr>
          <w:bCs/>
          <w:sz w:val="22"/>
          <w:szCs w:val="22"/>
        </w:rPr>
        <w:t xml:space="preserve"> or </w:t>
      </w:r>
      <w:r w:rsidR="00612CCC">
        <w:rPr>
          <w:bCs/>
          <w:sz w:val="22"/>
          <w:szCs w:val="22"/>
        </w:rPr>
        <w:t>hazardous air pollutants (</w:t>
      </w:r>
      <w:r w:rsidRPr="003277D2">
        <w:rPr>
          <w:bCs/>
          <w:sz w:val="22"/>
          <w:szCs w:val="22"/>
        </w:rPr>
        <w:t>HAP</w:t>
      </w:r>
      <w:r w:rsidR="00612CCC">
        <w:rPr>
          <w:bCs/>
          <w:sz w:val="22"/>
          <w:szCs w:val="22"/>
        </w:rPr>
        <w:t>)</w:t>
      </w:r>
      <w:r w:rsidRPr="003277D2">
        <w:rPr>
          <w:bCs/>
          <w:sz w:val="22"/>
          <w:szCs w:val="22"/>
        </w:rPr>
        <w:t xml:space="preserve"> in the formulation</w:t>
      </w:r>
    </w:p>
    <w:p w14:paraId="6DC28E3F" w14:textId="77777777" w:rsidR="006F02AC" w:rsidRPr="003277D2" w:rsidRDefault="006F02AC" w:rsidP="005379B8">
      <w:pPr>
        <w:numPr>
          <w:ilvl w:val="0"/>
          <w:numId w:val="25"/>
        </w:numPr>
        <w:ind w:hanging="540"/>
        <w:rPr>
          <w:bCs/>
          <w:sz w:val="22"/>
          <w:szCs w:val="22"/>
        </w:rPr>
      </w:pPr>
      <w:r w:rsidRPr="003277D2">
        <w:rPr>
          <w:bCs/>
          <w:sz w:val="22"/>
          <w:szCs w:val="22"/>
        </w:rPr>
        <w:t>Electric or steam-heated drying ovens and autoclaves, but not the emissions from the articles or substances being processed in the ovens or autoclaves or the boilers delivering the steam</w:t>
      </w:r>
    </w:p>
    <w:p w14:paraId="5BD7FFF8" w14:textId="77777777" w:rsidR="006F02AC" w:rsidRPr="003277D2" w:rsidRDefault="006F02AC" w:rsidP="005379B8">
      <w:pPr>
        <w:numPr>
          <w:ilvl w:val="0"/>
          <w:numId w:val="25"/>
        </w:numPr>
        <w:ind w:hanging="540"/>
        <w:rPr>
          <w:bCs/>
          <w:sz w:val="22"/>
          <w:szCs w:val="22"/>
        </w:rPr>
      </w:pPr>
      <w:r w:rsidRPr="003277D2">
        <w:rPr>
          <w:bCs/>
          <w:sz w:val="22"/>
          <w:szCs w:val="22"/>
        </w:rPr>
        <w:t>Salt baths using nonvolatile salts that do not result in emissions of any regulated air pollutants</w:t>
      </w:r>
    </w:p>
    <w:p w14:paraId="0883BB51" w14:textId="77777777" w:rsidR="006F02AC" w:rsidRPr="003277D2" w:rsidRDefault="006F02AC" w:rsidP="005379B8">
      <w:pPr>
        <w:numPr>
          <w:ilvl w:val="0"/>
          <w:numId w:val="25"/>
        </w:numPr>
        <w:ind w:hanging="540"/>
        <w:rPr>
          <w:bCs/>
          <w:sz w:val="22"/>
          <w:szCs w:val="22"/>
        </w:rPr>
      </w:pPr>
      <w:r w:rsidRPr="003277D2">
        <w:rPr>
          <w:bCs/>
          <w:sz w:val="22"/>
          <w:szCs w:val="22"/>
        </w:rPr>
        <w:t>Laboratory equipment used for physical or chemical analysis but not lab fume hoods or vents</w:t>
      </w:r>
    </w:p>
    <w:p w14:paraId="40B5CD52" w14:textId="77777777" w:rsidR="006F02AC" w:rsidRPr="003277D2" w:rsidRDefault="006F02AC" w:rsidP="005379B8">
      <w:pPr>
        <w:numPr>
          <w:ilvl w:val="0"/>
          <w:numId w:val="25"/>
        </w:numPr>
        <w:ind w:hanging="540"/>
        <w:rPr>
          <w:bCs/>
          <w:sz w:val="22"/>
          <w:szCs w:val="22"/>
        </w:rPr>
      </w:pPr>
      <w:r w:rsidRPr="003277D2">
        <w:rPr>
          <w:bCs/>
          <w:sz w:val="22"/>
          <w:szCs w:val="22"/>
        </w:rPr>
        <w:t>Routine calibration and maintenance of laboratory equipment or other analytical instruments</w:t>
      </w:r>
    </w:p>
    <w:p w14:paraId="199293CA" w14:textId="77777777" w:rsidR="006F02AC" w:rsidRPr="003277D2" w:rsidRDefault="006F02AC" w:rsidP="005379B8">
      <w:pPr>
        <w:numPr>
          <w:ilvl w:val="0"/>
          <w:numId w:val="25"/>
        </w:numPr>
        <w:ind w:hanging="540"/>
        <w:rPr>
          <w:bCs/>
          <w:sz w:val="22"/>
          <w:szCs w:val="22"/>
        </w:rPr>
      </w:pPr>
      <w:r w:rsidRPr="003277D2">
        <w:rPr>
          <w:bCs/>
          <w:sz w:val="22"/>
          <w:szCs w:val="22"/>
        </w:rPr>
        <w:t>Equipment used for quality control/assurance or inspection purposes, including sampling equipment used to withdraw materials for analysis</w:t>
      </w:r>
    </w:p>
    <w:p w14:paraId="273C6D6C" w14:textId="77777777" w:rsidR="006F02AC" w:rsidRPr="003277D2" w:rsidRDefault="006F02AC" w:rsidP="005379B8">
      <w:pPr>
        <w:numPr>
          <w:ilvl w:val="0"/>
          <w:numId w:val="25"/>
        </w:numPr>
        <w:ind w:hanging="540"/>
        <w:rPr>
          <w:bCs/>
          <w:sz w:val="22"/>
          <w:szCs w:val="22"/>
        </w:rPr>
      </w:pPr>
      <w:r w:rsidRPr="003277D2">
        <w:rPr>
          <w:bCs/>
          <w:sz w:val="22"/>
          <w:szCs w:val="22"/>
        </w:rPr>
        <w:t>Hydraulic and hydrostatic testing equipment</w:t>
      </w:r>
    </w:p>
    <w:p w14:paraId="543E952F" w14:textId="77777777" w:rsidR="006F02AC" w:rsidRPr="003277D2" w:rsidRDefault="006F02AC" w:rsidP="005379B8">
      <w:pPr>
        <w:numPr>
          <w:ilvl w:val="0"/>
          <w:numId w:val="25"/>
        </w:numPr>
        <w:ind w:hanging="540"/>
        <w:rPr>
          <w:bCs/>
          <w:sz w:val="22"/>
          <w:szCs w:val="22"/>
        </w:rPr>
      </w:pPr>
      <w:r w:rsidRPr="003277D2">
        <w:rPr>
          <w:bCs/>
          <w:sz w:val="22"/>
          <w:szCs w:val="22"/>
        </w:rPr>
        <w:t>Environmental chambers not using HAP gases</w:t>
      </w:r>
    </w:p>
    <w:p w14:paraId="7FEE1AD1" w14:textId="77777777" w:rsidR="006F02AC" w:rsidRPr="003277D2" w:rsidRDefault="006F02AC" w:rsidP="005379B8">
      <w:pPr>
        <w:numPr>
          <w:ilvl w:val="0"/>
          <w:numId w:val="25"/>
        </w:numPr>
        <w:ind w:hanging="540"/>
        <w:rPr>
          <w:bCs/>
          <w:sz w:val="22"/>
          <w:szCs w:val="22"/>
        </w:rPr>
      </w:pPr>
      <w:r w:rsidRPr="003277D2">
        <w:rPr>
          <w:bCs/>
          <w:sz w:val="22"/>
          <w:szCs w:val="22"/>
        </w:rPr>
        <w:t>Shock Chambers, Humidity Chambers, and Solar Simulators</w:t>
      </w:r>
    </w:p>
    <w:p w14:paraId="6C87AF98" w14:textId="77777777" w:rsidR="006F02AC" w:rsidRPr="003277D2" w:rsidRDefault="006F02AC" w:rsidP="005379B8">
      <w:pPr>
        <w:numPr>
          <w:ilvl w:val="0"/>
          <w:numId w:val="25"/>
        </w:numPr>
        <w:ind w:hanging="540"/>
        <w:rPr>
          <w:bCs/>
          <w:sz w:val="22"/>
          <w:szCs w:val="22"/>
        </w:rPr>
      </w:pPr>
      <w:r w:rsidRPr="003277D2">
        <w:rPr>
          <w:bCs/>
          <w:sz w:val="22"/>
          <w:szCs w:val="22"/>
        </w:rPr>
        <w:t>Fugitive emissions related to movement of passenger vehicles, provided the emissions are not counted for applicability purposes</w:t>
      </w:r>
      <w:r w:rsidR="000C22D5">
        <w:rPr>
          <w:bCs/>
          <w:sz w:val="22"/>
          <w:szCs w:val="22"/>
        </w:rPr>
        <w:t>.  Additionally, there cannot be a requirement for a</w:t>
      </w:r>
      <w:r w:rsidRPr="003277D2">
        <w:rPr>
          <w:bCs/>
          <w:sz w:val="22"/>
          <w:szCs w:val="22"/>
        </w:rPr>
        <w:t xml:space="preserve"> fugitive dust control plan or its equivalent</w:t>
      </w:r>
      <w:r w:rsidR="000C22D5">
        <w:rPr>
          <w:bCs/>
          <w:sz w:val="22"/>
          <w:szCs w:val="22"/>
        </w:rPr>
        <w:t>.  Any such requirements must be addressed as applicable requirements in an Operating Permit.</w:t>
      </w:r>
    </w:p>
    <w:p w14:paraId="2C685B2C" w14:textId="77777777" w:rsidR="006F02AC" w:rsidRPr="003277D2" w:rsidRDefault="006F02AC" w:rsidP="005379B8">
      <w:pPr>
        <w:numPr>
          <w:ilvl w:val="0"/>
          <w:numId w:val="25"/>
        </w:numPr>
        <w:ind w:hanging="540"/>
        <w:rPr>
          <w:bCs/>
          <w:sz w:val="22"/>
          <w:szCs w:val="22"/>
        </w:rPr>
      </w:pPr>
      <w:r w:rsidRPr="003277D2">
        <w:rPr>
          <w:bCs/>
          <w:sz w:val="22"/>
          <w:szCs w:val="22"/>
        </w:rPr>
        <w:t>Process water filtration, deionization, and demineralization systems, demineralizer water tanks, and demineralizer vents</w:t>
      </w:r>
    </w:p>
    <w:p w14:paraId="3A7E71B0" w14:textId="77777777" w:rsidR="006F02AC" w:rsidRPr="003277D2" w:rsidRDefault="006F02AC" w:rsidP="005379B8">
      <w:pPr>
        <w:numPr>
          <w:ilvl w:val="0"/>
          <w:numId w:val="25"/>
        </w:numPr>
        <w:ind w:hanging="540"/>
        <w:rPr>
          <w:bCs/>
          <w:sz w:val="22"/>
          <w:szCs w:val="22"/>
        </w:rPr>
      </w:pPr>
      <w:r w:rsidRPr="003277D2">
        <w:rPr>
          <w:bCs/>
          <w:sz w:val="22"/>
          <w:szCs w:val="22"/>
        </w:rPr>
        <w:t>Boiler water treatment operations, not including cooling towers</w:t>
      </w:r>
    </w:p>
    <w:p w14:paraId="1FDC4A73" w14:textId="77777777" w:rsidR="006F02AC" w:rsidRDefault="006F02AC" w:rsidP="005379B8">
      <w:pPr>
        <w:numPr>
          <w:ilvl w:val="0"/>
          <w:numId w:val="25"/>
        </w:numPr>
        <w:ind w:hanging="540"/>
        <w:rPr>
          <w:bCs/>
          <w:sz w:val="22"/>
          <w:szCs w:val="22"/>
        </w:rPr>
      </w:pPr>
      <w:r w:rsidRPr="003277D2">
        <w:rPr>
          <w:bCs/>
          <w:sz w:val="22"/>
          <w:szCs w:val="22"/>
        </w:rPr>
        <w:t>Oxygen scavenging (de-aeration) of water</w:t>
      </w:r>
    </w:p>
    <w:p w14:paraId="6120EBA0" w14:textId="77777777" w:rsidR="009224E4" w:rsidRPr="009224E4" w:rsidRDefault="009224E4" w:rsidP="009224E4">
      <w:pPr>
        <w:ind w:left="-180"/>
        <w:rPr>
          <w:b/>
          <w:sz w:val="28"/>
          <w:szCs w:val="28"/>
        </w:rPr>
      </w:pPr>
      <w:r w:rsidRPr="009224E4">
        <w:rPr>
          <w:b/>
          <w:sz w:val="28"/>
          <w:szCs w:val="28"/>
        </w:rPr>
        <w:lastRenderedPageBreak/>
        <w:t>INSTRUCTIONS:</w:t>
      </w:r>
    </w:p>
    <w:p w14:paraId="46FC4EC3" w14:textId="77777777" w:rsidR="009224E4" w:rsidRPr="009224E4" w:rsidRDefault="009224E4" w:rsidP="009224E4">
      <w:pPr>
        <w:tabs>
          <w:tab w:val="left" w:pos="0"/>
        </w:tabs>
        <w:ind w:hanging="180"/>
        <w:rPr>
          <w:b/>
          <w:sz w:val="28"/>
          <w:szCs w:val="28"/>
        </w:rPr>
      </w:pPr>
      <w:r w:rsidRPr="009224E4">
        <w:rPr>
          <w:b/>
          <w:sz w:val="28"/>
          <w:szCs w:val="28"/>
        </w:rPr>
        <w:t>Section 1.3: Insignificant Activities</w:t>
      </w:r>
    </w:p>
    <w:p w14:paraId="58666F6C" w14:textId="77777777" w:rsidR="009224E4" w:rsidRPr="003277D2" w:rsidRDefault="009224E4" w:rsidP="009224E4">
      <w:pPr>
        <w:ind w:left="630"/>
        <w:rPr>
          <w:bCs/>
          <w:sz w:val="22"/>
          <w:szCs w:val="22"/>
        </w:rPr>
      </w:pPr>
    </w:p>
    <w:p w14:paraId="6CCD613E" w14:textId="77777777" w:rsidR="006F02AC" w:rsidRPr="003277D2" w:rsidRDefault="006F02AC" w:rsidP="005379B8">
      <w:pPr>
        <w:numPr>
          <w:ilvl w:val="0"/>
          <w:numId w:val="25"/>
        </w:numPr>
        <w:ind w:hanging="540"/>
        <w:rPr>
          <w:bCs/>
          <w:sz w:val="22"/>
          <w:szCs w:val="22"/>
        </w:rPr>
      </w:pPr>
      <w:r w:rsidRPr="003277D2">
        <w:rPr>
          <w:bCs/>
          <w:sz w:val="22"/>
          <w:szCs w:val="22"/>
        </w:rPr>
        <w:t>Ozone generators</w:t>
      </w:r>
    </w:p>
    <w:p w14:paraId="1E186DA7" w14:textId="77777777" w:rsidR="006F02AC" w:rsidRPr="003277D2" w:rsidRDefault="006F02AC" w:rsidP="005379B8">
      <w:pPr>
        <w:numPr>
          <w:ilvl w:val="0"/>
          <w:numId w:val="25"/>
        </w:numPr>
        <w:ind w:hanging="540"/>
        <w:rPr>
          <w:bCs/>
          <w:sz w:val="22"/>
          <w:szCs w:val="22"/>
        </w:rPr>
      </w:pPr>
      <w:r w:rsidRPr="003277D2">
        <w:rPr>
          <w:bCs/>
          <w:sz w:val="22"/>
          <w:szCs w:val="22"/>
        </w:rPr>
        <w:t>Fire suppression systems</w:t>
      </w:r>
      <w:r w:rsidR="00152188">
        <w:rPr>
          <w:bCs/>
          <w:sz w:val="22"/>
          <w:szCs w:val="22"/>
        </w:rPr>
        <w:t>, excluding RICE emergency pumps at a fixed site</w:t>
      </w:r>
    </w:p>
    <w:p w14:paraId="2A336953" w14:textId="77777777" w:rsidR="006F02AC" w:rsidRPr="003277D2" w:rsidRDefault="006F02AC" w:rsidP="005379B8">
      <w:pPr>
        <w:numPr>
          <w:ilvl w:val="0"/>
          <w:numId w:val="25"/>
        </w:numPr>
        <w:ind w:hanging="540"/>
        <w:rPr>
          <w:bCs/>
          <w:sz w:val="22"/>
          <w:szCs w:val="22"/>
        </w:rPr>
      </w:pPr>
      <w:r w:rsidRPr="003277D2">
        <w:rPr>
          <w:bCs/>
          <w:sz w:val="22"/>
          <w:szCs w:val="22"/>
        </w:rPr>
        <w:t>Emergency road flares</w:t>
      </w:r>
    </w:p>
    <w:p w14:paraId="115C5DD6" w14:textId="77777777" w:rsidR="006F02AC" w:rsidRPr="003277D2" w:rsidRDefault="006F02AC" w:rsidP="005379B8">
      <w:pPr>
        <w:numPr>
          <w:ilvl w:val="0"/>
          <w:numId w:val="25"/>
        </w:numPr>
        <w:ind w:hanging="540"/>
        <w:rPr>
          <w:bCs/>
          <w:sz w:val="22"/>
          <w:szCs w:val="22"/>
        </w:rPr>
      </w:pPr>
      <w:r w:rsidRPr="003277D2">
        <w:rPr>
          <w:bCs/>
          <w:sz w:val="22"/>
          <w:szCs w:val="22"/>
        </w:rPr>
        <w:t>Steam vents and safety relief valves</w:t>
      </w:r>
    </w:p>
    <w:p w14:paraId="1F889590" w14:textId="77777777" w:rsidR="006F02AC" w:rsidRPr="003277D2" w:rsidRDefault="006F02AC" w:rsidP="005379B8">
      <w:pPr>
        <w:numPr>
          <w:ilvl w:val="0"/>
          <w:numId w:val="25"/>
        </w:numPr>
        <w:ind w:hanging="540"/>
        <w:rPr>
          <w:bCs/>
          <w:sz w:val="22"/>
          <w:szCs w:val="22"/>
        </w:rPr>
      </w:pPr>
      <w:r w:rsidRPr="003277D2">
        <w:rPr>
          <w:bCs/>
          <w:sz w:val="22"/>
          <w:szCs w:val="22"/>
        </w:rPr>
        <w:t>Steam leaks</w:t>
      </w:r>
    </w:p>
    <w:p w14:paraId="55DE7F57" w14:textId="77777777" w:rsidR="00B9657B" w:rsidRDefault="00B9657B" w:rsidP="005379B8">
      <w:pPr>
        <w:numPr>
          <w:ilvl w:val="0"/>
          <w:numId w:val="25"/>
        </w:numPr>
        <w:ind w:hanging="540"/>
        <w:rPr>
          <w:bCs/>
          <w:sz w:val="22"/>
          <w:szCs w:val="22"/>
        </w:rPr>
      </w:pPr>
      <w:r>
        <w:rPr>
          <w:bCs/>
          <w:sz w:val="22"/>
          <w:szCs w:val="22"/>
        </w:rPr>
        <w:t>Steam cleaning and sterilizer operations</w:t>
      </w:r>
    </w:p>
    <w:p w14:paraId="53C81820" w14:textId="77777777" w:rsidR="00B9657B" w:rsidRPr="003277D2" w:rsidRDefault="00B9657B" w:rsidP="005379B8">
      <w:pPr>
        <w:numPr>
          <w:ilvl w:val="0"/>
          <w:numId w:val="25"/>
        </w:numPr>
        <w:ind w:hanging="540"/>
        <w:rPr>
          <w:bCs/>
          <w:sz w:val="22"/>
          <w:szCs w:val="22"/>
        </w:rPr>
      </w:pPr>
      <w:r>
        <w:rPr>
          <w:bCs/>
          <w:sz w:val="22"/>
          <w:szCs w:val="22"/>
        </w:rPr>
        <w:t>Employee support activities such as cafeteria and recreational facilities</w:t>
      </w:r>
    </w:p>
    <w:p w14:paraId="3E527691" w14:textId="77777777" w:rsidR="00B9657B" w:rsidRDefault="00B9657B" w:rsidP="005379B8">
      <w:pPr>
        <w:numPr>
          <w:ilvl w:val="0"/>
          <w:numId w:val="25"/>
        </w:numPr>
        <w:ind w:hanging="540"/>
        <w:rPr>
          <w:bCs/>
          <w:sz w:val="22"/>
          <w:szCs w:val="22"/>
        </w:rPr>
      </w:pPr>
      <w:r>
        <w:rPr>
          <w:bCs/>
          <w:sz w:val="22"/>
          <w:szCs w:val="22"/>
        </w:rPr>
        <w:t>Laboratory and Research and Development Activities conducted exclusively in the</w:t>
      </w:r>
      <w:r w:rsidR="005379B8">
        <w:rPr>
          <w:bCs/>
          <w:sz w:val="22"/>
          <w:szCs w:val="22"/>
        </w:rPr>
        <w:t xml:space="preserve"> non-processing areas of the so</w:t>
      </w:r>
      <w:r>
        <w:rPr>
          <w:bCs/>
          <w:sz w:val="22"/>
          <w:szCs w:val="22"/>
        </w:rPr>
        <w:t>u</w:t>
      </w:r>
      <w:r w:rsidR="005379B8">
        <w:rPr>
          <w:bCs/>
          <w:sz w:val="22"/>
          <w:szCs w:val="22"/>
        </w:rPr>
        <w:t>r</w:t>
      </w:r>
      <w:r>
        <w:rPr>
          <w:bCs/>
          <w:sz w:val="22"/>
          <w:szCs w:val="22"/>
        </w:rPr>
        <w:t>ce</w:t>
      </w:r>
    </w:p>
    <w:p w14:paraId="7C9B6493" w14:textId="172C8D77" w:rsidR="005379B8" w:rsidRDefault="005379B8" w:rsidP="005379B8">
      <w:pPr>
        <w:numPr>
          <w:ilvl w:val="0"/>
          <w:numId w:val="25"/>
        </w:numPr>
        <w:ind w:hanging="540"/>
        <w:rPr>
          <w:bCs/>
          <w:sz w:val="22"/>
          <w:szCs w:val="22"/>
        </w:rPr>
      </w:pPr>
      <w:r>
        <w:rPr>
          <w:bCs/>
          <w:sz w:val="22"/>
          <w:szCs w:val="22"/>
        </w:rPr>
        <w:t xml:space="preserve">Storage and handling of lubricating and heavy oils with a vapor pressure less than 0.5 </w:t>
      </w:r>
      <w:r w:rsidR="00656FE9">
        <w:rPr>
          <w:bCs/>
          <w:sz w:val="22"/>
          <w:szCs w:val="22"/>
        </w:rPr>
        <w:t>pounds per square inch (</w:t>
      </w:r>
      <w:r>
        <w:rPr>
          <w:bCs/>
          <w:sz w:val="22"/>
          <w:szCs w:val="22"/>
        </w:rPr>
        <w:t>psi</w:t>
      </w:r>
      <w:r w:rsidR="00656FE9">
        <w:rPr>
          <w:bCs/>
          <w:sz w:val="22"/>
          <w:szCs w:val="22"/>
        </w:rPr>
        <w:t>)</w:t>
      </w:r>
      <w:r>
        <w:rPr>
          <w:bCs/>
          <w:sz w:val="22"/>
          <w:szCs w:val="22"/>
        </w:rPr>
        <w:t xml:space="preserve"> under standard conditions, when held for source use only.  The </w:t>
      </w:r>
      <w:r w:rsidR="00A47B88">
        <w:rPr>
          <w:bCs/>
          <w:sz w:val="22"/>
          <w:szCs w:val="22"/>
        </w:rPr>
        <w:t xml:space="preserve">NDEE </w:t>
      </w:r>
      <w:r>
        <w:rPr>
          <w:bCs/>
          <w:sz w:val="22"/>
          <w:szCs w:val="22"/>
        </w:rPr>
        <w:t>asks that the applicant list the tanks/storage devices</w:t>
      </w:r>
      <w:r w:rsidR="000B2348">
        <w:rPr>
          <w:bCs/>
          <w:sz w:val="22"/>
          <w:szCs w:val="22"/>
        </w:rPr>
        <w:t>, including the tank contents,</w:t>
      </w:r>
      <w:r>
        <w:rPr>
          <w:bCs/>
          <w:sz w:val="22"/>
          <w:szCs w:val="22"/>
        </w:rPr>
        <w:t xml:space="preserve"> located at the source in the second table in Section 1.3 so that the </w:t>
      </w:r>
      <w:r w:rsidR="00A47B88">
        <w:rPr>
          <w:bCs/>
          <w:sz w:val="22"/>
          <w:szCs w:val="22"/>
        </w:rPr>
        <w:t xml:space="preserve">NDEE </w:t>
      </w:r>
      <w:r>
        <w:rPr>
          <w:bCs/>
          <w:sz w:val="22"/>
          <w:szCs w:val="22"/>
        </w:rPr>
        <w:t>is aware of the existence of these tanks/storage devices at your source.</w:t>
      </w:r>
    </w:p>
    <w:p w14:paraId="706E5BAD" w14:textId="77777777" w:rsidR="001208A9" w:rsidRDefault="001208A9" w:rsidP="00786F65">
      <w:pPr>
        <w:spacing w:after="120"/>
        <w:ind w:left="115" w:hanging="475"/>
        <w:rPr>
          <w:b/>
          <w:sz w:val="22"/>
          <w:szCs w:val="22"/>
          <w:u w:val="single"/>
        </w:rPr>
      </w:pPr>
      <w:r>
        <w:rPr>
          <w:b/>
          <w:sz w:val="22"/>
          <w:szCs w:val="22"/>
          <w:u w:val="single"/>
        </w:rPr>
        <w:t>PART 2:</w:t>
      </w:r>
    </w:p>
    <w:p w14:paraId="54BFFADA" w14:textId="6822E419" w:rsidR="001208A9" w:rsidRDefault="001208A9" w:rsidP="001208A9">
      <w:pPr>
        <w:pStyle w:val="PlainText"/>
        <w:spacing w:after="120"/>
        <w:ind w:left="90"/>
        <w:rPr>
          <w:sz w:val="22"/>
          <w:szCs w:val="22"/>
        </w:rPr>
      </w:pPr>
      <w:r>
        <w:rPr>
          <w:sz w:val="22"/>
          <w:szCs w:val="22"/>
        </w:rPr>
        <w:t xml:space="preserve">In accordance with Title 129, Chapter </w:t>
      </w:r>
      <w:r w:rsidR="008D1DCC">
        <w:rPr>
          <w:sz w:val="22"/>
          <w:szCs w:val="22"/>
        </w:rPr>
        <w:t>6</w:t>
      </w:r>
      <w:r>
        <w:rPr>
          <w:sz w:val="22"/>
          <w:szCs w:val="22"/>
        </w:rPr>
        <w:t xml:space="preserve">, Section </w:t>
      </w:r>
      <w:r w:rsidR="008D1DCC">
        <w:rPr>
          <w:sz w:val="22"/>
          <w:szCs w:val="22"/>
          <w:u w:val="single"/>
        </w:rPr>
        <w:t>002</w:t>
      </w:r>
      <w:r>
        <w:rPr>
          <w:sz w:val="22"/>
          <w:szCs w:val="22"/>
          <w:u w:val="single"/>
        </w:rPr>
        <w:t>.</w:t>
      </w:r>
      <w:r w:rsidR="008D1DCC">
        <w:rPr>
          <w:sz w:val="22"/>
          <w:szCs w:val="22"/>
          <w:u w:val="single"/>
        </w:rPr>
        <w:t>05C</w:t>
      </w:r>
      <w:r>
        <w:rPr>
          <w:sz w:val="22"/>
          <w:szCs w:val="22"/>
        </w:rPr>
        <w:t xml:space="preserve">, the </w:t>
      </w:r>
      <w:r w:rsidR="008D1DCC">
        <w:rPr>
          <w:sz w:val="22"/>
          <w:szCs w:val="22"/>
        </w:rPr>
        <w:t xml:space="preserve">NDEE </w:t>
      </w:r>
      <w:r>
        <w:rPr>
          <w:sz w:val="22"/>
          <w:szCs w:val="22"/>
        </w:rPr>
        <w:t xml:space="preserve">has determined that the following </w:t>
      </w:r>
      <w:r w:rsidR="005379B8">
        <w:rPr>
          <w:sz w:val="22"/>
          <w:szCs w:val="22"/>
        </w:rPr>
        <w:t xml:space="preserve">activities </w:t>
      </w:r>
      <w:r>
        <w:rPr>
          <w:sz w:val="22"/>
          <w:szCs w:val="22"/>
        </w:rPr>
        <w:t xml:space="preserve">are </w:t>
      </w:r>
      <w:r w:rsidRPr="001208A9">
        <w:rPr>
          <w:b/>
          <w:sz w:val="22"/>
          <w:szCs w:val="22"/>
          <w:u w:val="single"/>
        </w:rPr>
        <w:t>conditionally exempt</w:t>
      </w:r>
      <w:r>
        <w:rPr>
          <w:sz w:val="22"/>
          <w:szCs w:val="22"/>
        </w:rPr>
        <w:t xml:space="preserve"> </w:t>
      </w:r>
      <w:r w:rsidRPr="003277D2">
        <w:rPr>
          <w:sz w:val="22"/>
          <w:szCs w:val="22"/>
        </w:rPr>
        <w:t>from inclusion in the Operating Permit Application and Annual Emissions Inventory Reports.</w:t>
      </w:r>
      <w:r w:rsidR="00B9657B">
        <w:rPr>
          <w:sz w:val="22"/>
          <w:szCs w:val="22"/>
        </w:rPr>
        <w:t xml:space="preserve">  The following activities are exempt from inclusion in the Operating Permit Application and the Annual Emissions Inventory </w:t>
      </w:r>
      <w:r w:rsidR="00B9657B">
        <w:rPr>
          <w:b/>
          <w:sz w:val="22"/>
          <w:szCs w:val="22"/>
          <w:u w:val="single"/>
        </w:rPr>
        <w:t>unless the activity emits a pollutant(s) subject to a synthetic minor emissions limitation.</w:t>
      </w:r>
      <w:r w:rsidR="00B9657B">
        <w:rPr>
          <w:sz w:val="22"/>
          <w:szCs w:val="22"/>
        </w:rPr>
        <w:t xml:space="preserve">  If the activity emits a pollutant subject to a synthetic minor emissions limitation, the activity must be </w:t>
      </w:r>
      <w:r w:rsidR="00656FE9">
        <w:rPr>
          <w:sz w:val="22"/>
          <w:szCs w:val="22"/>
        </w:rPr>
        <w:t>included</w:t>
      </w:r>
      <w:r w:rsidR="00B9657B">
        <w:rPr>
          <w:sz w:val="22"/>
          <w:szCs w:val="22"/>
        </w:rPr>
        <w:t xml:space="preserve"> in the Operating Permit Application</w:t>
      </w:r>
      <w:r w:rsidR="00656FE9">
        <w:rPr>
          <w:sz w:val="22"/>
          <w:szCs w:val="22"/>
        </w:rPr>
        <w:t xml:space="preserve"> on the appropriate emission unit form</w:t>
      </w:r>
      <w:r w:rsidR="00F94288">
        <w:rPr>
          <w:sz w:val="22"/>
          <w:szCs w:val="22"/>
        </w:rPr>
        <w:t xml:space="preserve"> and in the Annual Emissions Inventory Report.</w:t>
      </w:r>
    </w:p>
    <w:p w14:paraId="64075289" w14:textId="1D957850" w:rsidR="00C1002E" w:rsidRDefault="00C1002E" w:rsidP="00C1002E">
      <w:pPr>
        <w:pStyle w:val="PlainText"/>
        <w:spacing w:after="120"/>
        <w:ind w:left="90"/>
        <w:rPr>
          <w:sz w:val="22"/>
          <w:szCs w:val="22"/>
        </w:rPr>
      </w:pPr>
      <w:r>
        <w:rPr>
          <w:sz w:val="22"/>
          <w:szCs w:val="22"/>
        </w:rPr>
        <w:t xml:space="preserve">Please note that these activities are in no way absolved from fulfilling any other applicable requirements.  The </w:t>
      </w:r>
      <w:r w:rsidR="008D1DCC">
        <w:rPr>
          <w:sz w:val="22"/>
          <w:szCs w:val="22"/>
        </w:rPr>
        <w:t xml:space="preserve">NDEE </w:t>
      </w:r>
      <w:r>
        <w:rPr>
          <w:sz w:val="22"/>
          <w:szCs w:val="22"/>
        </w:rPr>
        <w:t>may request additional information about any activity exempted by this list, and the permittee is obligated to provide the information requested.</w:t>
      </w:r>
    </w:p>
    <w:p w14:paraId="07F64DB4" w14:textId="77777777" w:rsidR="002658DA" w:rsidRPr="003277D2" w:rsidRDefault="002658DA" w:rsidP="005379B8">
      <w:pPr>
        <w:pStyle w:val="Header"/>
        <w:numPr>
          <w:ilvl w:val="0"/>
          <w:numId w:val="41"/>
        </w:numPr>
        <w:tabs>
          <w:tab w:val="clear" w:pos="630"/>
          <w:tab w:val="clear" w:pos="4320"/>
          <w:tab w:val="clear" w:pos="8640"/>
        </w:tabs>
        <w:ind w:hanging="510"/>
        <w:rPr>
          <w:sz w:val="22"/>
          <w:szCs w:val="22"/>
        </w:rPr>
      </w:pPr>
      <w:r>
        <w:rPr>
          <w:sz w:val="22"/>
          <w:szCs w:val="22"/>
        </w:rPr>
        <w:t>Forges and drop hammers or hydraulic presses used for forging or metal working</w:t>
      </w:r>
    </w:p>
    <w:p w14:paraId="0F0FB681" w14:textId="77777777" w:rsidR="002658DA" w:rsidRPr="003277D2" w:rsidRDefault="002658DA" w:rsidP="005379B8">
      <w:pPr>
        <w:pStyle w:val="Header"/>
        <w:numPr>
          <w:ilvl w:val="0"/>
          <w:numId w:val="41"/>
        </w:numPr>
        <w:tabs>
          <w:tab w:val="clear" w:pos="630"/>
          <w:tab w:val="clear" w:pos="4320"/>
          <w:tab w:val="clear" w:pos="8640"/>
        </w:tabs>
        <w:ind w:hanging="510"/>
        <w:rPr>
          <w:sz w:val="22"/>
          <w:szCs w:val="22"/>
        </w:rPr>
      </w:pPr>
      <w:r w:rsidRPr="003277D2">
        <w:rPr>
          <w:sz w:val="22"/>
          <w:szCs w:val="22"/>
        </w:rPr>
        <w:t>Hand-held equipment for buffing, polishing, cutting, drilling, sawing, grinding, turning or machining wood, metal, or plastic</w:t>
      </w:r>
    </w:p>
    <w:p w14:paraId="68D92A9C" w14:textId="0A3557C1" w:rsidR="002658DA" w:rsidRPr="003277D2" w:rsidRDefault="002658DA" w:rsidP="005379B8">
      <w:pPr>
        <w:pStyle w:val="Header"/>
        <w:numPr>
          <w:ilvl w:val="0"/>
          <w:numId w:val="41"/>
        </w:numPr>
        <w:tabs>
          <w:tab w:val="clear" w:pos="630"/>
          <w:tab w:val="clear" w:pos="4320"/>
          <w:tab w:val="clear" w:pos="8640"/>
        </w:tabs>
        <w:ind w:hanging="510"/>
        <w:rPr>
          <w:sz w:val="22"/>
          <w:szCs w:val="22"/>
        </w:rPr>
      </w:pPr>
      <w:r w:rsidRPr="003277D2">
        <w:rPr>
          <w:sz w:val="22"/>
          <w:szCs w:val="22"/>
        </w:rPr>
        <w:t xml:space="preserve">Brazing, soldering, and welding equipment, and cutting torches related to manufacturing and construction activities </w:t>
      </w:r>
      <w:r>
        <w:rPr>
          <w:sz w:val="22"/>
          <w:szCs w:val="22"/>
        </w:rPr>
        <w:t xml:space="preserve">that do not result in emission of HAPs that exceed the reporting level(s) in Title 129, Appendix I </w:t>
      </w:r>
    </w:p>
    <w:p w14:paraId="6E4481E7" w14:textId="77777777" w:rsidR="002658DA" w:rsidRDefault="002658DA" w:rsidP="005379B8">
      <w:pPr>
        <w:pStyle w:val="Header"/>
        <w:numPr>
          <w:ilvl w:val="0"/>
          <w:numId w:val="41"/>
        </w:numPr>
        <w:tabs>
          <w:tab w:val="clear" w:pos="630"/>
          <w:tab w:val="clear" w:pos="4320"/>
          <w:tab w:val="clear" w:pos="8640"/>
        </w:tabs>
        <w:ind w:hanging="510"/>
        <w:rPr>
          <w:sz w:val="22"/>
          <w:szCs w:val="22"/>
        </w:rPr>
      </w:pPr>
      <w:r>
        <w:rPr>
          <w:sz w:val="22"/>
          <w:szCs w:val="22"/>
        </w:rPr>
        <w:t>P</w:t>
      </w:r>
      <w:r w:rsidRPr="003277D2">
        <w:rPr>
          <w:sz w:val="22"/>
          <w:szCs w:val="22"/>
        </w:rPr>
        <w:t>neumatically operated equipment, including hand tools</w:t>
      </w:r>
    </w:p>
    <w:p w14:paraId="553875F3" w14:textId="77777777" w:rsidR="002658DA" w:rsidRDefault="002658DA" w:rsidP="005379B8">
      <w:pPr>
        <w:pStyle w:val="Header"/>
        <w:numPr>
          <w:ilvl w:val="0"/>
          <w:numId w:val="41"/>
        </w:numPr>
        <w:tabs>
          <w:tab w:val="clear" w:pos="630"/>
          <w:tab w:val="clear" w:pos="4320"/>
          <w:tab w:val="clear" w:pos="8640"/>
        </w:tabs>
        <w:ind w:hanging="510"/>
        <w:rPr>
          <w:sz w:val="22"/>
          <w:szCs w:val="22"/>
        </w:rPr>
      </w:pPr>
      <w:r>
        <w:rPr>
          <w:sz w:val="22"/>
          <w:szCs w:val="22"/>
        </w:rPr>
        <w:t>CO</w:t>
      </w:r>
      <w:r>
        <w:rPr>
          <w:sz w:val="22"/>
          <w:szCs w:val="22"/>
          <w:vertAlign w:val="subscript"/>
        </w:rPr>
        <w:t>2</w:t>
      </w:r>
      <w:r>
        <w:rPr>
          <w:sz w:val="22"/>
          <w:szCs w:val="22"/>
        </w:rPr>
        <w:t xml:space="preserve"> lasers, used only on metals and other materials which </w:t>
      </w:r>
      <w:r w:rsidR="005379B8">
        <w:rPr>
          <w:sz w:val="22"/>
          <w:szCs w:val="22"/>
        </w:rPr>
        <w:t>do not result in emissions of HAPs that exceed the reporting level(s) in Title 129, Appendix II or Appendix III</w:t>
      </w:r>
    </w:p>
    <w:p w14:paraId="7211CF01" w14:textId="3B742D8D" w:rsidR="005379B8" w:rsidRPr="003277D2" w:rsidRDefault="005379B8" w:rsidP="005379B8">
      <w:pPr>
        <w:pStyle w:val="Header"/>
        <w:numPr>
          <w:ilvl w:val="0"/>
          <w:numId w:val="41"/>
        </w:numPr>
        <w:tabs>
          <w:tab w:val="clear" w:pos="630"/>
          <w:tab w:val="clear" w:pos="4320"/>
          <w:tab w:val="clear" w:pos="8640"/>
        </w:tabs>
        <w:ind w:hanging="510"/>
        <w:rPr>
          <w:sz w:val="22"/>
          <w:szCs w:val="22"/>
        </w:rPr>
      </w:pPr>
      <w:r>
        <w:rPr>
          <w:sz w:val="22"/>
          <w:szCs w:val="22"/>
        </w:rPr>
        <w:t>Laser trimmers using dust collection and that do not result in emissions of HAPs that exceed the reporting level(s) in Title 129, Appendix I</w:t>
      </w:r>
    </w:p>
    <w:p w14:paraId="303F5080" w14:textId="77777777" w:rsidR="00786F65" w:rsidRDefault="005379B8" w:rsidP="00786F65">
      <w:pPr>
        <w:spacing w:after="120"/>
        <w:ind w:left="115" w:hanging="475"/>
        <w:rPr>
          <w:sz w:val="22"/>
          <w:szCs w:val="22"/>
        </w:rPr>
      </w:pPr>
      <w:r>
        <w:rPr>
          <w:b/>
          <w:sz w:val="22"/>
          <w:szCs w:val="22"/>
          <w:u w:val="single"/>
        </w:rPr>
        <w:t>PART 3</w:t>
      </w:r>
      <w:r w:rsidR="00996B45">
        <w:rPr>
          <w:b/>
          <w:sz w:val="22"/>
          <w:szCs w:val="22"/>
          <w:u w:val="single"/>
        </w:rPr>
        <w:t xml:space="preserve">: </w:t>
      </w:r>
    </w:p>
    <w:p w14:paraId="08001126" w14:textId="2564071F" w:rsidR="00786F65" w:rsidRDefault="006F02AC" w:rsidP="00786F65">
      <w:pPr>
        <w:spacing w:after="120"/>
        <w:ind w:left="115" w:hanging="475"/>
        <w:rPr>
          <w:sz w:val="22"/>
          <w:szCs w:val="22"/>
        </w:rPr>
      </w:pPr>
      <w:r w:rsidRPr="003277D2">
        <w:rPr>
          <w:sz w:val="22"/>
          <w:szCs w:val="22"/>
        </w:rPr>
        <w:tab/>
      </w:r>
      <w:r w:rsidR="00D64EF1">
        <w:rPr>
          <w:sz w:val="22"/>
          <w:szCs w:val="22"/>
        </w:rPr>
        <w:t xml:space="preserve">In accordance with Title 129, Chapter </w:t>
      </w:r>
      <w:r w:rsidR="008D1DCC">
        <w:rPr>
          <w:sz w:val="22"/>
          <w:szCs w:val="22"/>
        </w:rPr>
        <w:t>6</w:t>
      </w:r>
      <w:r w:rsidR="00D64EF1">
        <w:rPr>
          <w:sz w:val="22"/>
          <w:szCs w:val="22"/>
        </w:rPr>
        <w:t xml:space="preserve">, Section </w:t>
      </w:r>
      <w:r w:rsidR="008D1DCC">
        <w:rPr>
          <w:sz w:val="22"/>
          <w:szCs w:val="22"/>
          <w:u w:val="single"/>
        </w:rPr>
        <w:t>002</w:t>
      </w:r>
      <w:r w:rsidR="00D64EF1">
        <w:rPr>
          <w:sz w:val="22"/>
          <w:szCs w:val="22"/>
          <w:u w:val="single"/>
        </w:rPr>
        <w:t>.</w:t>
      </w:r>
      <w:r w:rsidR="008D1DCC" w:rsidRPr="00D64EF1">
        <w:rPr>
          <w:sz w:val="22"/>
          <w:szCs w:val="22"/>
          <w:u w:val="single"/>
        </w:rPr>
        <w:t>0</w:t>
      </w:r>
      <w:r w:rsidR="008D1DCC">
        <w:rPr>
          <w:sz w:val="22"/>
          <w:szCs w:val="22"/>
          <w:u w:val="single"/>
        </w:rPr>
        <w:t>5C</w:t>
      </w:r>
      <w:r w:rsidR="00D64EF1">
        <w:rPr>
          <w:sz w:val="22"/>
          <w:szCs w:val="22"/>
        </w:rPr>
        <w:t xml:space="preserve">, the </w:t>
      </w:r>
      <w:r w:rsidR="008D1DCC">
        <w:rPr>
          <w:sz w:val="22"/>
          <w:szCs w:val="22"/>
        </w:rPr>
        <w:t xml:space="preserve">NDEE </w:t>
      </w:r>
      <w:r w:rsidR="00D64EF1">
        <w:rPr>
          <w:sz w:val="22"/>
          <w:szCs w:val="22"/>
        </w:rPr>
        <w:t>has determined that the</w:t>
      </w:r>
      <w:r w:rsidRPr="003277D2">
        <w:rPr>
          <w:sz w:val="22"/>
          <w:szCs w:val="22"/>
        </w:rPr>
        <w:t xml:space="preserve"> following </w:t>
      </w:r>
      <w:r w:rsidR="00996B45">
        <w:rPr>
          <w:sz w:val="22"/>
          <w:szCs w:val="22"/>
        </w:rPr>
        <w:t xml:space="preserve">insignificant </w:t>
      </w:r>
      <w:r w:rsidRPr="003277D2">
        <w:rPr>
          <w:sz w:val="22"/>
          <w:szCs w:val="22"/>
        </w:rPr>
        <w:t xml:space="preserve">activities must be included in the Section </w:t>
      </w:r>
      <w:r w:rsidR="00EA5743" w:rsidRPr="003277D2">
        <w:rPr>
          <w:sz w:val="22"/>
          <w:szCs w:val="22"/>
        </w:rPr>
        <w:t>1.3</w:t>
      </w:r>
      <w:r w:rsidRPr="003277D2">
        <w:rPr>
          <w:sz w:val="22"/>
          <w:szCs w:val="22"/>
        </w:rPr>
        <w:t xml:space="preserve">: Insignificant Activities List. </w:t>
      </w:r>
      <w:r w:rsidR="00656FE9">
        <w:rPr>
          <w:sz w:val="22"/>
          <w:szCs w:val="22"/>
        </w:rPr>
        <w:t xml:space="preserve"> </w:t>
      </w:r>
      <w:r w:rsidR="00EA5743" w:rsidRPr="003277D2">
        <w:rPr>
          <w:sz w:val="22"/>
          <w:szCs w:val="22"/>
        </w:rPr>
        <w:t xml:space="preserve">The emissions associated with the following activities do </w:t>
      </w:r>
      <w:r w:rsidR="00EA5743" w:rsidRPr="003277D2">
        <w:rPr>
          <w:sz w:val="22"/>
          <w:szCs w:val="22"/>
          <w:u w:val="single"/>
        </w:rPr>
        <w:t>not</w:t>
      </w:r>
      <w:r w:rsidR="00EA5743" w:rsidRPr="003277D2">
        <w:rPr>
          <w:sz w:val="22"/>
          <w:szCs w:val="22"/>
        </w:rPr>
        <w:t xml:space="preserve"> need to be included in the Annual Emissions Inventory Reports </w:t>
      </w:r>
      <w:r w:rsidR="00EA5743" w:rsidRPr="003277D2">
        <w:rPr>
          <w:sz w:val="22"/>
          <w:szCs w:val="22"/>
          <w:u w:val="single"/>
        </w:rPr>
        <w:t>unless</w:t>
      </w:r>
      <w:r w:rsidR="00EA5743" w:rsidRPr="003277D2">
        <w:rPr>
          <w:sz w:val="22"/>
          <w:szCs w:val="22"/>
        </w:rPr>
        <w:t xml:space="preserve"> the emissions data is requested by </w:t>
      </w:r>
      <w:r w:rsidR="008D1DCC" w:rsidRPr="003277D2">
        <w:rPr>
          <w:sz w:val="22"/>
          <w:szCs w:val="22"/>
        </w:rPr>
        <w:t>NDE</w:t>
      </w:r>
      <w:r w:rsidR="008D1DCC">
        <w:rPr>
          <w:sz w:val="22"/>
          <w:szCs w:val="22"/>
        </w:rPr>
        <w:t>E</w:t>
      </w:r>
      <w:r w:rsidR="00EA5743" w:rsidRPr="003277D2">
        <w:rPr>
          <w:sz w:val="22"/>
          <w:szCs w:val="22"/>
        </w:rPr>
        <w:t>.</w:t>
      </w:r>
    </w:p>
    <w:p w14:paraId="059E9FB2" w14:textId="0971E610" w:rsidR="00C1002E" w:rsidRDefault="00C1002E" w:rsidP="00C1002E">
      <w:pPr>
        <w:pStyle w:val="PlainText"/>
        <w:spacing w:after="120"/>
        <w:ind w:left="90"/>
        <w:rPr>
          <w:sz w:val="22"/>
          <w:szCs w:val="22"/>
        </w:rPr>
      </w:pPr>
      <w:r>
        <w:rPr>
          <w:sz w:val="22"/>
          <w:szCs w:val="22"/>
        </w:rPr>
        <w:t xml:space="preserve">Please note that these activities are in no way absolved from fulfilling any other applicable requirements.  The </w:t>
      </w:r>
      <w:r w:rsidR="008D1DCC">
        <w:rPr>
          <w:sz w:val="22"/>
          <w:szCs w:val="22"/>
        </w:rPr>
        <w:t xml:space="preserve">NDEE </w:t>
      </w:r>
      <w:r>
        <w:rPr>
          <w:sz w:val="22"/>
          <w:szCs w:val="22"/>
        </w:rPr>
        <w:t>may request additional information about any insignificant activity listed, and the permittee is obligated to provide the information requested.</w:t>
      </w:r>
    </w:p>
    <w:p w14:paraId="31612EAE" w14:textId="77777777" w:rsidR="00786F65" w:rsidRDefault="006F02AC" w:rsidP="00786F65">
      <w:pPr>
        <w:pStyle w:val="Header"/>
        <w:numPr>
          <w:ilvl w:val="0"/>
          <w:numId w:val="26"/>
        </w:numPr>
        <w:tabs>
          <w:tab w:val="clear" w:pos="4320"/>
          <w:tab w:val="clear" w:pos="8640"/>
          <w:tab w:val="num" w:pos="480"/>
        </w:tabs>
        <w:spacing w:after="120"/>
        <w:ind w:left="475"/>
        <w:rPr>
          <w:sz w:val="22"/>
          <w:szCs w:val="22"/>
        </w:rPr>
      </w:pPr>
      <w:r w:rsidRPr="003277D2">
        <w:rPr>
          <w:sz w:val="22"/>
          <w:szCs w:val="22"/>
        </w:rPr>
        <w:t>Comfort cooling towers</w:t>
      </w:r>
    </w:p>
    <w:p w14:paraId="784899D5" w14:textId="77777777" w:rsidR="009224E4" w:rsidRPr="009224E4" w:rsidRDefault="009224E4" w:rsidP="009224E4">
      <w:pPr>
        <w:ind w:left="-180"/>
        <w:rPr>
          <w:b/>
          <w:sz w:val="28"/>
          <w:szCs w:val="28"/>
        </w:rPr>
      </w:pPr>
      <w:r w:rsidRPr="009224E4">
        <w:rPr>
          <w:b/>
          <w:sz w:val="28"/>
          <w:szCs w:val="28"/>
        </w:rPr>
        <w:lastRenderedPageBreak/>
        <w:t>INSTRUCTIONS:</w:t>
      </w:r>
    </w:p>
    <w:p w14:paraId="14426B4E" w14:textId="77777777" w:rsidR="009224E4" w:rsidRPr="009224E4" w:rsidRDefault="009224E4" w:rsidP="009224E4">
      <w:pPr>
        <w:ind w:left="-180"/>
        <w:rPr>
          <w:b/>
          <w:sz w:val="28"/>
          <w:szCs w:val="28"/>
        </w:rPr>
      </w:pPr>
      <w:r w:rsidRPr="009224E4">
        <w:rPr>
          <w:b/>
          <w:sz w:val="28"/>
          <w:szCs w:val="28"/>
        </w:rPr>
        <w:t>Section 1.3: Insignificant Activities</w:t>
      </w:r>
    </w:p>
    <w:p w14:paraId="531B4A9A" w14:textId="77777777" w:rsidR="009224E4" w:rsidRDefault="009224E4" w:rsidP="009224E4">
      <w:pPr>
        <w:pStyle w:val="Header"/>
        <w:tabs>
          <w:tab w:val="clear" w:pos="4320"/>
          <w:tab w:val="clear" w:pos="8640"/>
        </w:tabs>
        <w:spacing w:after="120"/>
        <w:ind w:left="475"/>
        <w:rPr>
          <w:sz w:val="22"/>
          <w:szCs w:val="22"/>
        </w:rPr>
      </w:pPr>
    </w:p>
    <w:p w14:paraId="5909E9C9" w14:textId="77777777" w:rsidR="00786F65" w:rsidRDefault="00072438" w:rsidP="00786F65">
      <w:pPr>
        <w:pStyle w:val="Header"/>
        <w:numPr>
          <w:ilvl w:val="0"/>
          <w:numId w:val="26"/>
        </w:numPr>
        <w:tabs>
          <w:tab w:val="clear" w:pos="4320"/>
          <w:tab w:val="clear" w:pos="8640"/>
          <w:tab w:val="num" w:pos="480"/>
        </w:tabs>
        <w:spacing w:after="120"/>
        <w:ind w:left="475"/>
        <w:rPr>
          <w:sz w:val="22"/>
          <w:szCs w:val="22"/>
        </w:rPr>
      </w:pPr>
      <w:r>
        <w:rPr>
          <w:sz w:val="22"/>
          <w:szCs w:val="22"/>
        </w:rPr>
        <w:t>P</w:t>
      </w:r>
      <w:r w:rsidR="006F02AC" w:rsidRPr="003277D2">
        <w:rPr>
          <w:sz w:val="22"/>
          <w:szCs w:val="22"/>
        </w:rPr>
        <w:t xml:space="preserve">rocess cooling towers with a circulating water flow rate less than 2,000 gallons per minute. </w:t>
      </w:r>
      <w:r w:rsidR="00656FE9">
        <w:rPr>
          <w:sz w:val="22"/>
          <w:szCs w:val="22"/>
        </w:rPr>
        <w:t xml:space="preserve"> </w:t>
      </w:r>
      <w:r w:rsidR="006F02AC" w:rsidRPr="003277D2">
        <w:rPr>
          <w:sz w:val="22"/>
          <w:szCs w:val="22"/>
        </w:rPr>
        <w:t xml:space="preserve">In the Description column of Section </w:t>
      </w:r>
      <w:r w:rsidR="00D30CB0" w:rsidRPr="003277D2">
        <w:rPr>
          <w:sz w:val="22"/>
          <w:szCs w:val="22"/>
        </w:rPr>
        <w:t>1.3</w:t>
      </w:r>
      <w:r w:rsidR="006F02AC" w:rsidRPr="003277D2">
        <w:rPr>
          <w:sz w:val="22"/>
          <w:szCs w:val="22"/>
        </w:rPr>
        <w:t>, include the circulating water flow rate, total dissolved solids concentration, estimated drift loss, and average hours or days in service.</w:t>
      </w:r>
    </w:p>
    <w:p w14:paraId="6C5A96D0" w14:textId="135FCFC9" w:rsidR="00786F65" w:rsidRDefault="006F02AC" w:rsidP="00786F65">
      <w:pPr>
        <w:pStyle w:val="Header"/>
        <w:numPr>
          <w:ilvl w:val="0"/>
          <w:numId w:val="26"/>
        </w:numPr>
        <w:tabs>
          <w:tab w:val="clear" w:pos="4320"/>
          <w:tab w:val="clear" w:pos="8640"/>
          <w:tab w:val="num" w:pos="480"/>
        </w:tabs>
        <w:spacing w:after="120"/>
        <w:ind w:left="475"/>
        <w:rPr>
          <w:sz w:val="22"/>
          <w:szCs w:val="22"/>
        </w:rPr>
      </w:pPr>
      <w:r w:rsidRPr="003277D2">
        <w:rPr>
          <w:sz w:val="22"/>
          <w:szCs w:val="22"/>
        </w:rPr>
        <w:t xml:space="preserve">Space heaters. </w:t>
      </w:r>
      <w:r w:rsidR="00656FE9">
        <w:rPr>
          <w:sz w:val="22"/>
          <w:szCs w:val="22"/>
        </w:rPr>
        <w:t xml:space="preserve"> </w:t>
      </w:r>
      <w:r w:rsidRPr="003277D2">
        <w:rPr>
          <w:sz w:val="22"/>
          <w:szCs w:val="22"/>
        </w:rPr>
        <w:t>In the Description column of Section 1.</w:t>
      </w:r>
      <w:r w:rsidR="00D30CB0" w:rsidRPr="003277D2">
        <w:rPr>
          <w:sz w:val="22"/>
          <w:szCs w:val="22"/>
        </w:rPr>
        <w:t>3</w:t>
      </w:r>
      <w:r w:rsidR="00F44DC1">
        <w:rPr>
          <w:sz w:val="22"/>
          <w:szCs w:val="22"/>
        </w:rPr>
        <w:t>;</w:t>
      </w:r>
      <w:r w:rsidRPr="003277D2">
        <w:rPr>
          <w:sz w:val="22"/>
          <w:szCs w:val="22"/>
        </w:rPr>
        <w:t xml:space="preserve"> include the heat input rating</w:t>
      </w:r>
      <w:r w:rsidR="00F44DC1">
        <w:rPr>
          <w:sz w:val="22"/>
          <w:szCs w:val="22"/>
        </w:rPr>
        <w:t>;</w:t>
      </w:r>
      <w:r w:rsidRPr="003277D2">
        <w:rPr>
          <w:sz w:val="22"/>
          <w:szCs w:val="22"/>
        </w:rPr>
        <w:t xml:space="preserve"> fuel type, including a summary of annual fuel use for space </w:t>
      </w:r>
      <w:r w:rsidR="00F44DC1">
        <w:rPr>
          <w:sz w:val="22"/>
          <w:szCs w:val="22"/>
        </w:rPr>
        <w:t xml:space="preserve">heating; </w:t>
      </w:r>
      <w:r w:rsidRPr="003277D2">
        <w:rPr>
          <w:sz w:val="22"/>
          <w:szCs w:val="22"/>
        </w:rPr>
        <w:t>and number of heaters with the same rating and fuel type.</w:t>
      </w:r>
    </w:p>
    <w:p w14:paraId="6A589EC0" w14:textId="7193B752" w:rsidR="00786F65" w:rsidRPr="000B2348" w:rsidRDefault="00790BB9" w:rsidP="00786F65">
      <w:pPr>
        <w:pStyle w:val="Header"/>
        <w:numPr>
          <w:ilvl w:val="0"/>
          <w:numId w:val="26"/>
        </w:numPr>
        <w:tabs>
          <w:tab w:val="clear" w:pos="4320"/>
          <w:tab w:val="clear" w:pos="8640"/>
          <w:tab w:val="num" w:pos="480"/>
        </w:tabs>
        <w:spacing w:after="120"/>
        <w:ind w:left="475"/>
        <w:rPr>
          <w:b/>
          <w:sz w:val="22"/>
          <w:szCs w:val="22"/>
          <w:u w:val="single"/>
        </w:rPr>
      </w:pPr>
      <w:r>
        <w:rPr>
          <w:sz w:val="22"/>
          <w:szCs w:val="22"/>
        </w:rPr>
        <w:t xml:space="preserve">Fuel </w:t>
      </w:r>
      <w:r w:rsidR="00F458D6" w:rsidRPr="003277D2">
        <w:rPr>
          <w:sz w:val="22"/>
          <w:szCs w:val="22"/>
        </w:rPr>
        <w:t>storage and distribution equipment, including storage vessels (tanks)</w:t>
      </w:r>
      <w:r w:rsidR="000B2348">
        <w:rPr>
          <w:sz w:val="22"/>
          <w:szCs w:val="22"/>
        </w:rPr>
        <w:t>,</w:t>
      </w:r>
      <w:r w:rsidR="00F458D6" w:rsidRPr="003277D2">
        <w:rPr>
          <w:sz w:val="22"/>
          <w:szCs w:val="22"/>
        </w:rPr>
        <w:t xml:space="preserve"> with aggregate annual throughput of less than 1 million gallons for the entire </w:t>
      </w:r>
      <w:r w:rsidR="00B04624">
        <w:rPr>
          <w:sz w:val="22"/>
          <w:szCs w:val="22"/>
        </w:rPr>
        <w:t>source</w:t>
      </w:r>
      <w:r w:rsidR="00F458D6" w:rsidRPr="003277D2">
        <w:rPr>
          <w:sz w:val="22"/>
          <w:szCs w:val="22"/>
        </w:rPr>
        <w:t xml:space="preserve">. </w:t>
      </w:r>
      <w:r w:rsidR="00656FE9">
        <w:rPr>
          <w:sz w:val="22"/>
          <w:szCs w:val="22"/>
        </w:rPr>
        <w:t xml:space="preserve"> </w:t>
      </w:r>
      <w:r w:rsidR="00F458D6" w:rsidRPr="003277D2">
        <w:rPr>
          <w:sz w:val="22"/>
          <w:szCs w:val="22"/>
        </w:rPr>
        <w:t xml:space="preserve">Records verifying aggregate annual </w:t>
      </w:r>
      <w:r w:rsidR="00C810A6">
        <w:rPr>
          <w:sz w:val="22"/>
          <w:szCs w:val="22"/>
        </w:rPr>
        <w:t>f</w:t>
      </w:r>
      <w:r w:rsidR="00F458D6" w:rsidRPr="003277D2">
        <w:rPr>
          <w:sz w:val="22"/>
          <w:szCs w:val="22"/>
        </w:rPr>
        <w:t xml:space="preserve">uel </w:t>
      </w:r>
      <w:r>
        <w:rPr>
          <w:sz w:val="22"/>
          <w:szCs w:val="22"/>
        </w:rPr>
        <w:t xml:space="preserve">oil </w:t>
      </w:r>
      <w:r w:rsidR="00F458D6" w:rsidRPr="003277D2">
        <w:rPr>
          <w:sz w:val="22"/>
          <w:szCs w:val="22"/>
        </w:rPr>
        <w:t>throughput must be maintained fo</w:t>
      </w:r>
      <w:r w:rsidR="00644FA0" w:rsidRPr="003277D2">
        <w:rPr>
          <w:sz w:val="22"/>
          <w:szCs w:val="22"/>
        </w:rPr>
        <w:t xml:space="preserve">r </w:t>
      </w:r>
      <w:r w:rsidR="00072438">
        <w:rPr>
          <w:sz w:val="22"/>
          <w:szCs w:val="22"/>
        </w:rPr>
        <w:t xml:space="preserve">five (5) </w:t>
      </w:r>
      <w:r w:rsidR="00644FA0" w:rsidRPr="003277D2">
        <w:rPr>
          <w:sz w:val="22"/>
          <w:szCs w:val="22"/>
        </w:rPr>
        <w:t>years and made available to</w:t>
      </w:r>
      <w:r w:rsidR="00F458D6" w:rsidRPr="003277D2">
        <w:rPr>
          <w:sz w:val="22"/>
          <w:szCs w:val="22"/>
        </w:rPr>
        <w:t xml:space="preserve"> </w:t>
      </w:r>
      <w:r w:rsidR="008D1DCC" w:rsidRPr="003277D2">
        <w:rPr>
          <w:sz w:val="22"/>
          <w:szCs w:val="22"/>
        </w:rPr>
        <w:t>NDE</w:t>
      </w:r>
      <w:r w:rsidR="008D1DCC">
        <w:rPr>
          <w:sz w:val="22"/>
          <w:szCs w:val="22"/>
        </w:rPr>
        <w:t>E</w:t>
      </w:r>
      <w:r w:rsidR="008D1DCC" w:rsidRPr="003277D2">
        <w:rPr>
          <w:sz w:val="22"/>
          <w:szCs w:val="22"/>
        </w:rPr>
        <w:t xml:space="preserve"> </w:t>
      </w:r>
      <w:r w:rsidR="00F458D6" w:rsidRPr="003277D2">
        <w:rPr>
          <w:sz w:val="22"/>
          <w:szCs w:val="22"/>
        </w:rPr>
        <w:t>or U</w:t>
      </w:r>
      <w:r w:rsidR="00072438">
        <w:rPr>
          <w:sz w:val="22"/>
          <w:szCs w:val="22"/>
        </w:rPr>
        <w:t>S</w:t>
      </w:r>
      <w:r w:rsidR="00F458D6" w:rsidRPr="003277D2">
        <w:rPr>
          <w:sz w:val="22"/>
          <w:szCs w:val="22"/>
        </w:rPr>
        <w:t xml:space="preserve">EPA within </w:t>
      </w:r>
      <w:r w:rsidR="00072438">
        <w:rPr>
          <w:sz w:val="22"/>
          <w:szCs w:val="22"/>
        </w:rPr>
        <w:t>forty-eight (</w:t>
      </w:r>
      <w:r w:rsidR="00F458D6" w:rsidRPr="003277D2">
        <w:rPr>
          <w:sz w:val="22"/>
          <w:szCs w:val="22"/>
        </w:rPr>
        <w:t>48</w:t>
      </w:r>
      <w:r w:rsidR="00072438">
        <w:rPr>
          <w:sz w:val="22"/>
          <w:szCs w:val="22"/>
        </w:rPr>
        <w:t>)</w:t>
      </w:r>
      <w:r w:rsidR="00F458D6" w:rsidRPr="003277D2">
        <w:rPr>
          <w:sz w:val="22"/>
          <w:szCs w:val="22"/>
        </w:rPr>
        <w:t xml:space="preserve"> hours of a request for documentation of annual throughput.</w:t>
      </w:r>
      <w:r w:rsidR="000B2348">
        <w:rPr>
          <w:sz w:val="22"/>
          <w:szCs w:val="22"/>
        </w:rPr>
        <w:t xml:space="preserve">  </w:t>
      </w:r>
      <w:r w:rsidR="000B2348" w:rsidRPr="000B2348">
        <w:rPr>
          <w:b/>
          <w:sz w:val="22"/>
          <w:szCs w:val="22"/>
          <w:u w:val="single"/>
        </w:rPr>
        <w:t xml:space="preserve">Please note that gasoline storage tanks </w:t>
      </w:r>
      <w:r w:rsidR="000B2348">
        <w:rPr>
          <w:b/>
          <w:sz w:val="22"/>
          <w:szCs w:val="22"/>
          <w:u w:val="single"/>
        </w:rPr>
        <w:t xml:space="preserve">at </w:t>
      </w:r>
      <w:r w:rsidR="000B2348" w:rsidRPr="000B2348">
        <w:rPr>
          <w:b/>
          <w:sz w:val="22"/>
          <w:szCs w:val="22"/>
          <w:u w:val="single"/>
        </w:rPr>
        <w:t>area source</w:t>
      </w:r>
      <w:r w:rsidR="000B2348">
        <w:rPr>
          <w:b/>
          <w:sz w:val="22"/>
          <w:szCs w:val="22"/>
          <w:u w:val="single"/>
        </w:rPr>
        <w:t>s</w:t>
      </w:r>
      <w:r w:rsidR="000B2348" w:rsidRPr="000B2348">
        <w:rPr>
          <w:b/>
          <w:sz w:val="22"/>
          <w:szCs w:val="22"/>
          <w:u w:val="single"/>
        </w:rPr>
        <w:t xml:space="preserve"> of HAPs cannot be considered insignificant activities, as these tanks are subject to NE</w:t>
      </w:r>
      <w:r w:rsidR="000B2348">
        <w:rPr>
          <w:b/>
          <w:sz w:val="22"/>
          <w:szCs w:val="22"/>
          <w:u w:val="single"/>
        </w:rPr>
        <w:t>SHAP Sub</w:t>
      </w:r>
      <w:r w:rsidR="000B2348" w:rsidRPr="000B2348">
        <w:rPr>
          <w:b/>
          <w:sz w:val="22"/>
          <w:szCs w:val="22"/>
          <w:u w:val="single"/>
        </w:rPr>
        <w:t>p</w:t>
      </w:r>
      <w:r w:rsidR="000B2348">
        <w:rPr>
          <w:b/>
          <w:sz w:val="22"/>
          <w:szCs w:val="22"/>
          <w:u w:val="single"/>
        </w:rPr>
        <w:t>a</w:t>
      </w:r>
      <w:r w:rsidR="000B2348" w:rsidRPr="000B2348">
        <w:rPr>
          <w:b/>
          <w:sz w:val="22"/>
          <w:szCs w:val="22"/>
          <w:u w:val="single"/>
        </w:rPr>
        <w:t>rt CCCCCC (§</w:t>
      </w:r>
      <w:r w:rsidR="000B2348">
        <w:rPr>
          <w:b/>
          <w:sz w:val="22"/>
          <w:szCs w:val="22"/>
          <w:u w:val="single"/>
        </w:rPr>
        <w:t>63.11111)</w:t>
      </w:r>
      <w:r w:rsidR="000B2348">
        <w:rPr>
          <w:sz w:val="22"/>
          <w:szCs w:val="22"/>
        </w:rPr>
        <w:t>.  The applicable requirements for affected units under this subpart must be incorporated into the Operating Permit.</w:t>
      </w:r>
    </w:p>
    <w:p w14:paraId="64CF08E2" w14:textId="77777777" w:rsidR="005379B8" w:rsidRDefault="005379B8" w:rsidP="00786F65">
      <w:pPr>
        <w:pStyle w:val="Header"/>
        <w:numPr>
          <w:ilvl w:val="0"/>
          <w:numId w:val="26"/>
        </w:numPr>
        <w:tabs>
          <w:tab w:val="clear" w:pos="4320"/>
          <w:tab w:val="clear" w:pos="8640"/>
          <w:tab w:val="num" w:pos="480"/>
        </w:tabs>
        <w:spacing w:after="120"/>
        <w:ind w:left="475"/>
        <w:rPr>
          <w:sz w:val="22"/>
          <w:szCs w:val="22"/>
        </w:rPr>
      </w:pPr>
      <w:r>
        <w:rPr>
          <w:sz w:val="22"/>
          <w:szCs w:val="22"/>
        </w:rPr>
        <w:t xml:space="preserve">Stationary internal combustion turbines at area sources of HAP that are </w:t>
      </w:r>
      <w:r w:rsidR="00656FE9">
        <w:rPr>
          <w:sz w:val="22"/>
          <w:szCs w:val="22"/>
        </w:rPr>
        <w:t>not subject to a NSPS or NESHAP,</w:t>
      </w:r>
      <w:r>
        <w:rPr>
          <w:sz w:val="22"/>
          <w:szCs w:val="22"/>
        </w:rPr>
        <w:t xml:space="preserve"> use only natural gas as a fuel source</w:t>
      </w:r>
      <w:r w:rsidR="00656FE9">
        <w:rPr>
          <w:sz w:val="22"/>
          <w:szCs w:val="22"/>
        </w:rPr>
        <w:t>,</w:t>
      </w:r>
      <w:r>
        <w:rPr>
          <w:sz w:val="22"/>
          <w:szCs w:val="22"/>
        </w:rPr>
        <w:t xml:space="preserve"> and are rated below 1,630 horsepower.  In the Description column of Section 1.3, please include the size of the unit, the fuel used, and average hours or days of service.</w:t>
      </w:r>
    </w:p>
    <w:p w14:paraId="7594BDD6" w14:textId="77777777" w:rsidR="00517208" w:rsidRPr="003277D2" w:rsidRDefault="00517208" w:rsidP="00834C0B">
      <w:pPr>
        <w:pStyle w:val="Header"/>
        <w:numPr>
          <w:ilvl w:val="0"/>
          <w:numId w:val="26"/>
        </w:numPr>
        <w:tabs>
          <w:tab w:val="clear" w:pos="4320"/>
          <w:tab w:val="clear" w:pos="8640"/>
          <w:tab w:val="num" w:pos="480"/>
        </w:tabs>
        <w:spacing w:after="120"/>
        <w:ind w:left="480"/>
        <w:rPr>
          <w:sz w:val="22"/>
          <w:szCs w:val="22"/>
        </w:rPr>
      </w:pPr>
      <w:r w:rsidRPr="003277D2">
        <w:rPr>
          <w:sz w:val="22"/>
          <w:szCs w:val="22"/>
        </w:rPr>
        <w:t xml:space="preserve">Stationary external combustion units </w:t>
      </w:r>
      <w:r w:rsidR="00656FE9">
        <w:rPr>
          <w:sz w:val="22"/>
          <w:szCs w:val="22"/>
        </w:rPr>
        <w:t xml:space="preserve">not subject to a NSPS or NESHAP </w:t>
      </w:r>
      <w:r w:rsidRPr="003277D2">
        <w:rPr>
          <w:sz w:val="22"/>
          <w:szCs w:val="22"/>
        </w:rPr>
        <w:t xml:space="preserve">using the listed fuel </w:t>
      </w:r>
      <w:r w:rsidR="00E36485" w:rsidRPr="003277D2">
        <w:rPr>
          <w:sz w:val="22"/>
          <w:szCs w:val="22"/>
        </w:rPr>
        <w:t xml:space="preserve">type </w:t>
      </w:r>
      <w:r w:rsidRPr="003277D2">
        <w:rPr>
          <w:sz w:val="22"/>
          <w:szCs w:val="22"/>
        </w:rPr>
        <w:t xml:space="preserve">and rated below the corresponding heat input rating. In the Description column of Section </w:t>
      </w:r>
      <w:r w:rsidR="00D30CB0" w:rsidRPr="003277D2">
        <w:rPr>
          <w:sz w:val="22"/>
          <w:szCs w:val="22"/>
        </w:rPr>
        <w:t>1.3</w:t>
      </w:r>
      <w:r w:rsidRPr="003277D2">
        <w:rPr>
          <w:sz w:val="22"/>
          <w:szCs w:val="22"/>
        </w:rPr>
        <w:t>, include heat input rating of the unit, fuel(s) fired, and average hours or days of service</w:t>
      </w:r>
      <w:r w:rsidR="00A55E8B">
        <w:rPr>
          <w:sz w:val="22"/>
          <w:szCs w:val="22"/>
        </w:rPr>
        <w:t xml:space="preserve"> per year</w:t>
      </w:r>
      <w:r w:rsidRPr="003277D2">
        <w:rPr>
          <w:sz w:val="22"/>
          <w:szCs w:val="22"/>
        </w:rPr>
        <w:t>.</w:t>
      </w:r>
    </w:p>
    <w:tbl>
      <w:tblPr>
        <w:tblW w:w="0" w:type="auto"/>
        <w:tblInd w:w="5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81"/>
        <w:gridCol w:w="6161"/>
      </w:tblGrid>
      <w:tr w:rsidR="006F02AC" w:rsidRPr="00DF2D98" w14:paraId="029F8416" w14:textId="77777777" w:rsidTr="00DF2D98">
        <w:trPr>
          <w:trHeight w:val="323"/>
        </w:trPr>
        <w:tc>
          <w:tcPr>
            <w:tcW w:w="2640" w:type="dxa"/>
            <w:tcBorders>
              <w:top w:val="single" w:sz="12" w:space="0" w:color="auto"/>
              <w:bottom w:val="single" w:sz="12" w:space="0" w:color="auto"/>
            </w:tcBorders>
            <w:vAlign w:val="center"/>
          </w:tcPr>
          <w:p w14:paraId="66439E9F" w14:textId="77777777" w:rsidR="006F02AC" w:rsidRPr="00DF2D98" w:rsidRDefault="006F02AC" w:rsidP="00DF2D98">
            <w:pPr>
              <w:pStyle w:val="Header"/>
              <w:tabs>
                <w:tab w:val="clear" w:pos="4320"/>
                <w:tab w:val="clear" w:pos="8640"/>
              </w:tabs>
              <w:jc w:val="center"/>
              <w:rPr>
                <w:b/>
                <w:sz w:val="22"/>
                <w:szCs w:val="22"/>
              </w:rPr>
            </w:pPr>
            <w:r w:rsidRPr="00DF2D98">
              <w:rPr>
                <w:b/>
                <w:sz w:val="22"/>
                <w:szCs w:val="22"/>
              </w:rPr>
              <w:t>Fuel Type</w:t>
            </w:r>
          </w:p>
        </w:tc>
        <w:tc>
          <w:tcPr>
            <w:tcW w:w="6348" w:type="dxa"/>
            <w:tcBorders>
              <w:top w:val="single" w:sz="12" w:space="0" w:color="auto"/>
              <w:bottom w:val="single" w:sz="12" w:space="0" w:color="auto"/>
            </w:tcBorders>
            <w:vAlign w:val="center"/>
          </w:tcPr>
          <w:p w14:paraId="4B29188C" w14:textId="77777777" w:rsidR="006F02AC" w:rsidRPr="00DF2D98" w:rsidRDefault="006F02AC" w:rsidP="00DF2D98">
            <w:pPr>
              <w:pStyle w:val="Header"/>
              <w:tabs>
                <w:tab w:val="clear" w:pos="4320"/>
                <w:tab w:val="clear" w:pos="8640"/>
                <w:tab w:val="left" w:pos="870"/>
              </w:tabs>
              <w:jc w:val="center"/>
              <w:rPr>
                <w:b/>
                <w:sz w:val="22"/>
                <w:szCs w:val="22"/>
              </w:rPr>
            </w:pPr>
            <w:r w:rsidRPr="00DF2D98">
              <w:rPr>
                <w:b/>
                <w:sz w:val="22"/>
                <w:szCs w:val="22"/>
              </w:rPr>
              <w:t>Heat Input Rating</w:t>
            </w:r>
          </w:p>
        </w:tc>
      </w:tr>
      <w:tr w:rsidR="006F02AC" w:rsidRPr="00DF2D98" w14:paraId="6977E2C7" w14:textId="77777777" w:rsidTr="00DF2D98">
        <w:tc>
          <w:tcPr>
            <w:tcW w:w="2640" w:type="dxa"/>
            <w:tcBorders>
              <w:top w:val="single" w:sz="12" w:space="0" w:color="auto"/>
            </w:tcBorders>
            <w:vAlign w:val="center"/>
          </w:tcPr>
          <w:p w14:paraId="3C9AEF92"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Natural Gas</w:t>
            </w:r>
          </w:p>
        </w:tc>
        <w:tc>
          <w:tcPr>
            <w:tcW w:w="6348" w:type="dxa"/>
            <w:tcBorders>
              <w:top w:val="single" w:sz="12" w:space="0" w:color="auto"/>
            </w:tcBorders>
            <w:vAlign w:val="center"/>
          </w:tcPr>
          <w:p w14:paraId="1EE59AFF"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10.0 Million British Thermal Units per Hour (MMBtu/</w:t>
            </w:r>
            <w:proofErr w:type="spellStart"/>
            <w:r w:rsidRPr="00DF2D98">
              <w:rPr>
                <w:sz w:val="22"/>
                <w:szCs w:val="22"/>
              </w:rPr>
              <w:t>hr</w:t>
            </w:r>
            <w:proofErr w:type="spellEnd"/>
            <w:r w:rsidRPr="00DF2D98">
              <w:rPr>
                <w:sz w:val="22"/>
                <w:szCs w:val="22"/>
              </w:rPr>
              <w:t>)</w:t>
            </w:r>
          </w:p>
        </w:tc>
      </w:tr>
      <w:tr w:rsidR="006F02AC" w:rsidRPr="00DF2D98" w14:paraId="76EA1236" w14:textId="77777777" w:rsidTr="00DF2D98">
        <w:tc>
          <w:tcPr>
            <w:tcW w:w="2640" w:type="dxa"/>
            <w:vAlign w:val="center"/>
          </w:tcPr>
          <w:p w14:paraId="3743EAB3"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Diesel Oil</w:t>
            </w:r>
          </w:p>
        </w:tc>
        <w:tc>
          <w:tcPr>
            <w:tcW w:w="6348" w:type="dxa"/>
            <w:vAlign w:val="center"/>
          </w:tcPr>
          <w:p w14:paraId="438F98EA"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8.0 MMBtu/</w:t>
            </w:r>
            <w:proofErr w:type="spellStart"/>
            <w:r w:rsidRPr="00DF2D98">
              <w:rPr>
                <w:sz w:val="22"/>
                <w:szCs w:val="22"/>
              </w:rPr>
              <w:t>hr</w:t>
            </w:r>
            <w:proofErr w:type="spellEnd"/>
          </w:p>
        </w:tc>
      </w:tr>
      <w:tr w:rsidR="006F02AC" w:rsidRPr="00DF2D98" w14:paraId="1CA6E4D4" w14:textId="77777777" w:rsidTr="00DF2D98">
        <w:tc>
          <w:tcPr>
            <w:tcW w:w="2640" w:type="dxa"/>
            <w:vAlign w:val="center"/>
          </w:tcPr>
          <w:p w14:paraId="0CC98D38"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No. 2 Fuel Oil</w:t>
            </w:r>
          </w:p>
        </w:tc>
        <w:tc>
          <w:tcPr>
            <w:tcW w:w="6348" w:type="dxa"/>
            <w:vAlign w:val="center"/>
          </w:tcPr>
          <w:p w14:paraId="2B3B4A87"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8.0 MMBtu/</w:t>
            </w:r>
            <w:proofErr w:type="spellStart"/>
            <w:r w:rsidRPr="00DF2D98">
              <w:rPr>
                <w:sz w:val="22"/>
                <w:szCs w:val="22"/>
              </w:rPr>
              <w:t>hr</w:t>
            </w:r>
            <w:proofErr w:type="spellEnd"/>
          </w:p>
        </w:tc>
      </w:tr>
      <w:tr w:rsidR="006F02AC" w:rsidRPr="00DF2D98" w14:paraId="4FBF1D26" w14:textId="77777777" w:rsidTr="00DF2D98">
        <w:tc>
          <w:tcPr>
            <w:tcW w:w="2640" w:type="dxa"/>
            <w:vAlign w:val="center"/>
          </w:tcPr>
          <w:p w14:paraId="49A54CF1"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No. 6 Fuel Oil</w:t>
            </w:r>
          </w:p>
        </w:tc>
        <w:tc>
          <w:tcPr>
            <w:tcW w:w="6348" w:type="dxa"/>
            <w:vAlign w:val="center"/>
          </w:tcPr>
          <w:p w14:paraId="65858EAB"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2.0 MMBtu/</w:t>
            </w:r>
            <w:proofErr w:type="spellStart"/>
            <w:r w:rsidRPr="00DF2D98">
              <w:rPr>
                <w:sz w:val="22"/>
                <w:szCs w:val="22"/>
              </w:rPr>
              <w:t>hr</w:t>
            </w:r>
            <w:proofErr w:type="spellEnd"/>
          </w:p>
        </w:tc>
      </w:tr>
      <w:tr w:rsidR="006F02AC" w:rsidRPr="00DF2D98" w14:paraId="1D99DF2B" w14:textId="77777777" w:rsidTr="00DF2D98">
        <w:tc>
          <w:tcPr>
            <w:tcW w:w="2640" w:type="dxa"/>
            <w:vAlign w:val="center"/>
          </w:tcPr>
          <w:p w14:paraId="71CE0B46"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Coal</w:t>
            </w:r>
          </w:p>
        </w:tc>
        <w:tc>
          <w:tcPr>
            <w:tcW w:w="6348" w:type="dxa"/>
            <w:vAlign w:val="center"/>
          </w:tcPr>
          <w:p w14:paraId="08937FC8"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1.5 MMBtu/</w:t>
            </w:r>
            <w:proofErr w:type="spellStart"/>
            <w:r w:rsidRPr="00DF2D98">
              <w:rPr>
                <w:sz w:val="22"/>
                <w:szCs w:val="22"/>
              </w:rPr>
              <w:t>hr</w:t>
            </w:r>
            <w:proofErr w:type="spellEnd"/>
          </w:p>
        </w:tc>
      </w:tr>
      <w:tr w:rsidR="006F02AC" w:rsidRPr="00DF2D98" w14:paraId="26D1E2A8" w14:textId="77777777" w:rsidTr="00DF2D98">
        <w:tc>
          <w:tcPr>
            <w:tcW w:w="2640" w:type="dxa"/>
            <w:vAlign w:val="center"/>
          </w:tcPr>
          <w:p w14:paraId="33134159"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Wood</w:t>
            </w:r>
          </w:p>
        </w:tc>
        <w:tc>
          <w:tcPr>
            <w:tcW w:w="6348" w:type="dxa"/>
            <w:vAlign w:val="center"/>
          </w:tcPr>
          <w:p w14:paraId="04BECD2D"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5.5 MMBtu/</w:t>
            </w:r>
            <w:proofErr w:type="spellStart"/>
            <w:r w:rsidRPr="00DF2D98">
              <w:rPr>
                <w:sz w:val="22"/>
                <w:szCs w:val="22"/>
              </w:rPr>
              <w:t>hr</w:t>
            </w:r>
            <w:proofErr w:type="spellEnd"/>
          </w:p>
        </w:tc>
      </w:tr>
      <w:tr w:rsidR="006F02AC" w:rsidRPr="00DF2D98" w14:paraId="2026839F" w14:textId="77777777" w:rsidTr="00DF2D98">
        <w:tc>
          <w:tcPr>
            <w:tcW w:w="2640" w:type="dxa"/>
            <w:vAlign w:val="center"/>
          </w:tcPr>
          <w:p w14:paraId="5CF1206B"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Propane</w:t>
            </w:r>
          </w:p>
        </w:tc>
        <w:tc>
          <w:tcPr>
            <w:tcW w:w="6348" w:type="dxa"/>
            <w:vAlign w:val="center"/>
          </w:tcPr>
          <w:p w14:paraId="29759D76"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8.0 MMBtu/</w:t>
            </w:r>
            <w:proofErr w:type="spellStart"/>
            <w:r w:rsidRPr="00DF2D98">
              <w:rPr>
                <w:sz w:val="22"/>
                <w:szCs w:val="22"/>
              </w:rPr>
              <w:t>hr</w:t>
            </w:r>
            <w:proofErr w:type="spellEnd"/>
          </w:p>
        </w:tc>
      </w:tr>
      <w:tr w:rsidR="006F02AC" w:rsidRPr="00DF2D98" w14:paraId="40E79604" w14:textId="77777777" w:rsidTr="00DF2D98">
        <w:tc>
          <w:tcPr>
            <w:tcW w:w="2640" w:type="dxa"/>
            <w:vAlign w:val="center"/>
          </w:tcPr>
          <w:p w14:paraId="009436BE"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Kerosene</w:t>
            </w:r>
          </w:p>
        </w:tc>
        <w:tc>
          <w:tcPr>
            <w:tcW w:w="6348" w:type="dxa"/>
            <w:vAlign w:val="center"/>
          </w:tcPr>
          <w:p w14:paraId="5104D18B" w14:textId="77777777" w:rsidR="006F02AC" w:rsidRPr="00DF2D98" w:rsidRDefault="006F02AC" w:rsidP="00DF2D98">
            <w:pPr>
              <w:pStyle w:val="Header"/>
              <w:tabs>
                <w:tab w:val="clear" w:pos="4320"/>
                <w:tab w:val="clear" w:pos="8640"/>
                <w:tab w:val="left" w:pos="870"/>
              </w:tabs>
              <w:jc w:val="center"/>
              <w:rPr>
                <w:sz w:val="22"/>
                <w:szCs w:val="22"/>
              </w:rPr>
            </w:pPr>
            <w:r w:rsidRPr="00DF2D98">
              <w:rPr>
                <w:sz w:val="22"/>
                <w:szCs w:val="22"/>
              </w:rPr>
              <w:t>8.0 MMBtu/</w:t>
            </w:r>
            <w:proofErr w:type="spellStart"/>
            <w:r w:rsidRPr="00DF2D98">
              <w:rPr>
                <w:sz w:val="22"/>
                <w:szCs w:val="22"/>
              </w:rPr>
              <w:t>hr</w:t>
            </w:r>
            <w:proofErr w:type="spellEnd"/>
          </w:p>
        </w:tc>
      </w:tr>
    </w:tbl>
    <w:p w14:paraId="0F72F890" w14:textId="77777777" w:rsidR="006F02AC" w:rsidRPr="003277D2" w:rsidRDefault="006F02AC" w:rsidP="00834C0B">
      <w:pPr>
        <w:pStyle w:val="Header"/>
        <w:tabs>
          <w:tab w:val="clear" w:pos="4320"/>
          <w:tab w:val="clear" w:pos="8640"/>
          <w:tab w:val="left" w:pos="870"/>
        </w:tabs>
        <w:ind w:left="480" w:hanging="720"/>
        <w:rPr>
          <w:sz w:val="22"/>
          <w:szCs w:val="22"/>
        </w:rPr>
      </w:pPr>
    </w:p>
    <w:p w14:paraId="48B66F60" w14:textId="77777777" w:rsidR="00996B45" w:rsidRDefault="00EA2800" w:rsidP="00A55E8B">
      <w:pPr>
        <w:pStyle w:val="Header"/>
        <w:tabs>
          <w:tab w:val="clear" w:pos="4320"/>
          <w:tab w:val="clear" w:pos="8640"/>
          <w:tab w:val="left" w:pos="720"/>
          <w:tab w:val="left" w:pos="1080"/>
        </w:tabs>
        <w:spacing w:after="120"/>
        <w:ind w:left="120" w:hanging="480"/>
        <w:rPr>
          <w:sz w:val="22"/>
          <w:szCs w:val="22"/>
        </w:rPr>
      </w:pPr>
      <w:r>
        <w:rPr>
          <w:b/>
          <w:sz w:val="22"/>
          <w:szCs w:val="22"/>
          <w:u w:val="single"/>
        </w:rPr>
        <w:t>PART 4</w:t>
      </w:r>
      <w:r w:rsidR="00996B45">
        <w:rPr>
          <w:b/>
          <w:sz w:val="22"/>
          <w:szCs w:val="22"/>
          <w:u w:val="single"/>
        </w:rPr>
        <w:t>:</w:t>
      </w:r>
    </w:p>
    <w:p w14:paraId="19DB7F28" w14:textId="4B25862A" w:rsidR="00445326" w:rsidRDefault="00656FE9" w:rsidP="00A55E8B">
      <w:pPr>
        <w:pStyle w:val="Header"/>
        <w:tabs>
          <w:tab w:val="clear" w:pos="4320"/>
          <w:tab w:val="clear" w:pos="8640"/>
          <w:tab w:val="left" w:pos="720"/>
          <w:tab w:val="left" w:pos="1080"/>
        </w:tabs>
        <w:spacing w:after="120"/>
        <w:ind w:left="120" w:hanging="480"/>
        <w:rPr>
          <w:sz w:val="22"/>
          <w:szCs w:val="22"/>
        </w:rPr>
      </w:pPr>
      <w:r>
        <w:rPr>
          <w:sz w:val="22"/>
          <w:szCs w:val="22"/>
        </w:rPr>
        <w:tab/>
        <w:t>E</w:t>
      </w:r>
      <w:r w:rsidR="006F02AC" w:rsidRPr="003277D2">
        <w:rPr>
          <w:sz w:val="22"/>
          <w:szCs w:val="22"/>
        </w:rPr>
        <w:t xml:space="preserve">mission units </w:t>
      </w:r>
      <w:r>
        <w:rPr>
          <w:sz w:val="22"/>
          <w:szCs w:val="22"/>
        </w:rPr>
        <w:t xml:space="preserve">emitting small amounts of HAPs </w:t>
      </w:r>
      <w:r w:rsidR="00CC44B7">
        <w:rPr>
          <w:sz w:val="22"/>
          <w:szCs w:val="22"/>
        </w:rPr>
        <w:t>must be</w:t>
      </w:r>
      <w:r w:rsidR="006F02AC" w:rsidRPr="003277D2">
        <w:rPr>
          <w:sz w:val="22"/>
          <w:szCs w:val="22"/>
        </w:rPr>
        <w:t xml:space="preserve"> included in the insignificant activities list</w:t>
      </w:r>
      <w:r w:rsidR="00CC44B7">
        <w:rPr>
          <w:sz w:val="22"/>
          <w:szCs w:val="22"/>
        </w:rPr>
        <w:t>,</w:t>
      </w:r>
      <w:r w:rsidR="006F02AC" w:rsidRPr="003277D2">
        <w:rPr>
          <w:sz w:val="22"/>
          <w:szCs w:val="22"/>
        </w:rPr>
        <w:t xml:space="preserve"> but </w:t>
      </w:r>
      <w:r w:rsidR="00CC44B7">
        <w:rPr>
          <w:sz w:val="22"/>
          <w:szCs w:val="22"/>
        </w:rPr>
        <w:t xml:space="preserve">are </w:t>
      </w:r>
      <w:r w:rsidR="006F02AC" w:rsidRPr="003277D2">
        <w:rPr>
          <w:sz w:val="22"/>
          <w:szCs w:val="22"/>
        </w:rPr>
        <w:t xml:space="preserve">excluded from the Annual Emissions Inventory Reports if annual HAP emissions are below the reporting levels (pounds/year) in </w:t>
      </w:r>
      <w:hyperlink r:id="rId9" w:history="1">
        <w:r w:rsidR="00A55E8B" w:rsidRPr="00E4483C">
          <w:rPr>
            <w:rStyle w:val="Hyperlink"/>
            <w:sz w:val="22"/>
            <w:szCs w:val="22"/>
          </w:rPr>
          <w:t xml:space="preserve">Title 129, </w:t>
        </w:r>
        <w:r w:rsidR="006F02AC" w:rsidRPr="00E4483C">
          <w:rPr>
            <w:rStyle w:val="Hyperlink"/>
            <w:sz w:val="22"/>
            <w:szCs w:val="22"/>
          </w:rPr>
          <w:t>Appendix I</w:t>
        </w:r>
      </w:hyperlink>
      <w:r w:rsidR="006F02AC" w:rsidRPr="003277D2">
        <w:rPr>
          <w:sz w:val="22"/>
          <w:szCs w:val="22"/>
        </w:rPr>
        <w:t xml:space="preserve"> (</w:t>
      </w:r>
      <w:r w:rsidR="008D1DCC">
        <w:rPr>
          <w:sz w:val="22"/>
          <w:szCs w:val="22"/>
        </w:rPr>
        <w:t>Hazardous Air Pollutants</w:t>
      </w:r>
      <w:r w:rsidR="006F02AC" w:rsidRPr="003277D2">
        <w:rPr>
          <w:sz w:val="22"/>
          <w:szCs w:val="22"/>
        </w:rPr>
        <w:t>)</w:t>
      </w:r>
      <w:r w:rsidR="00644FA0" w:rsidRPr="003277D2">
        <w:rPr>
          <w:sz w:val="22"/>
          <w:szCs w:val="22"/>
        </w:rPr>
        <w:t>.</w:t>
      </w:r>
      <w:r w:rsidR="00A55E8B">
        <w:rPr>
          <w:sz w:val="22"/>
          <w:szCs w:val="22"/>
        </w:rPr>
        <w:t xml:space="preserve"> </w:t>
      </w:r>
      <w:r w:rsidR="00644FA0" w:rsidRPr="003277D2">
        <w:rPr>
          <w:sz w:val="22"/>
          <w:szCs w:val="22"/>
        </w:rPr>
        <w:t xml:space="preserve"> </w:t>
      </w:r>
      <w:r w:rsidR="008D1DCC" w:rsidRPr="003277D2">
        <w:rPr>
          <w:sz w:val="22"/>
          <w:szCs w:val="22"/>
        </w:rPr>
        <w:t>NDE</w:t>
      </w:r>
      <w:r w:rsidR="008D1DCC">
        <w:rPr>
          <w:sz w:val="22"/>
          <w:szCs w:val="22"/>
        </w:rPr>
        <w:t>E</w:t>
      </w:r>
      <w:r w:rsidR="008D1DCC" w:rsidRPr="003277D2">
        <w:rPr>
          <w:sz w:val="22"/>
          <w:szCs w:val="22"/>
        </w:rPr>
        <w:t xml:space="preserve"> </w:t>
      </w:r>
      <w:r w:rsidR="006F02AC" w:rsidRPr="003277D2">
        <w:rPr>
          <w:sz w:val="22"/>
          <w:szCs w:val="22"/>
        </w:rPr>
        <w:t>may request that th</w:t>
      </w:r>
      <w:r w:rsidR="00644FA0" w:rsidRPr="003277D2">
        <w:rPr>
          <w:sz w:val="22"/>
          <w:szCs w:val="22"/>
        </w:rPr>
        <w:t>ese HAP emissions be reported.</w:t>
      </w:r>
      <w:r w:rsidR="00C920E3">
        <w:rPr>
          <w:sz w:val="22"/>
          <w:szCs w:val="22"/>
        </w:rPr>
        <w:t xml:space="preserve"> </w:t>
      </w:r>
      <w:r w:rsidR="00644FA0" w:rsidRPr="003277D2">
        <w:rPr>
          <w:sz w:val="22"/>
          <w:szCs w:val="22"/>
        </w:rPr>
        <w:t xml:space="preserve"> </w:t>
      </w:r>
      <w:r w:rsidR="00D30CB0" w:rsidRPr="003277D2">
        <w:rPr>
          <w:sz w:val="22"/>
          <w:szCs w:val="22"/>
        </w:rPr>
        <w:t>When completing Section 1.3</w:t>
      </w:r>
      <w:r w:rsidR="006F02AC" w:rsidRPr="003277D2">
        <w:rPr>
          <w:sz w:val="22"/>
          <w:szCs w:val="22"/>
        </w:rPr>
        <w:t xml:space="preserve">, please </w:t>
      </w:r>
      <w:r w:rsidR="00C24816" w:rsidRPr="003277D2">
        <w:rPr>
          <w:sz w:val="22"/>
          <w:szCs w:val="22"/>
        </w:rPr>
        <w:t xml:space="preserve">place </w:t>
      </w:r>
      <w:r w:rsidR="006F02AC" w:rsidRPr="003277D2">
        <w:rPr>
          <w:sz w:val="22"/>
          <w:szCs w:val="22"/>
        </w:rPr>
        <w:t>the annual HAP emissions in the Description column.</w:t>
      </w:r>
      <w:r w:rsidR="00700501">
        <w:rPr>
          <w:sz w:val="22"/>
          <w:szCs w:val="22"/>
        </w:rPr>
        <w:t xml:space="preserve">  </w:t>
      </w:r>
    </w:p>
    <w:p w14:paraId="14A9EDBC" w14:textId="77777777" w:rsidR="00786F65" w:rsidRDefault="00700501" w:rsidP="00786F65">
      <w:pPr>
        <w:spacing w:after="240"/>
        <w:ind w:left="115"/>
        <w:rPr>
          <w:b/>
          <w:bCs/>
          <w:sz w:val="22"/>
          <w:szCs w:val="22"/>
        </w:rPr>
      </w:pPr>
      <w:r>
        <w:rPr>
          <w:sz w:val="22"/>
          <w:szCs w:val="22"/>
        </w:rPr>
        <w:t>Sources with</w:t>
      </w:r>
      <w:r w:rsidRPr="00700501">
        <w:rPr>
          <w:sz w:val="22"/>
          <w:szCs w:val="22"/>
        </w:rPr>
        <w:t xml:space="preserve"> </w:t>
      </w:r>
      <w:r w:rsidRPr="003277D2">
        <w:rPr>
          <w:sz w:val="22"/>
          <w:szCs w:val="22"/>
        </w:rPr>
        <w:t>synthetic minor</w:t>
      </w:r>
      <w:r w:rsidRPr="00700501">
        <w:rPr>
          <w:sz w:val="22"/>
          <w:szCs w:val="22"/>
        </w:rPr>
        <w:t xml:space="preserve"> </w:t>
      </w:r>
      <w:r>
        <w:rPr>
          <w:sz w:val="22"/>
          <w:szCs w:val="22"/>
        </w:rPr>
        <w:t>HAP</w:t>
      </w:r>
      <w:r w:rsidRPr="00700501">
        <w:rPr>
          <w:sz w:val="22"/>
          <w:szCs w:val="22"/>
        </w:rPr>
        <w:t xml:space="preserve"> </w:t>
      </w:r>
      <w:r w:rsidRPr="003277D2">
        <w:rPr>
          <w:sz w:val="22"/>
          <w:szCs w:val="22"/>
        </w:rPr>
        <w:t>limitations</w:t>
      </w:r>
      <w:r>
        <w:rPr>
          <w:sz w:val="22"/>
          <w:szCs w:val="22"/>
        </w:rPr>
        <w:t xml:space="preserve"> must list all HAP emissions units on the appropriate application forms</w:t>
      </w:r>
      <w:r w:rsidR="00996B45">
        <w:rPr>
          <w:sz w:val="22"/>
          <w:szCs w:val="22"/>
        </w:rPr>
        <w:t>, unless the source accepts further limitations on their potential emissions that allow an activity to be insignificant (see example on Page 1</w:t>
      </w:r>
      <w:r w:rsidR="00157E37">
        <w:rPr>
          <w:sz w:val="22"/>
          <w:szCs w:val="22"/>
        </w:rPr>
        <w:t xml:space="preserve"> of this form</w:t>
      </w:r>
      <w:r w:rsidR="00996B45">
        <w:rPr>
          <w:sz w:val="22"/>
          <w:szCs w:val="22"/>
        </w:rPr>
        <w:t>)</w:t>
      </w:r>
      <w:r>
        <w:rPr>
          <w:sz w:val="22"/>
          <w:szCs w:val="22"/>
        </w:rPr>
        <w:t>.</w:t>
      </w:r>
      <w:r w:rsidR="00445326" w:rsidRPr="00445326">
        <w:rPr>
          <w:b/>
          <w:bCs/>
          <w:sz w:val="22"/>
          <w:szCs w:val="22"/>
        </w:rPr>
        <w:t xml:space="preserve"> </w:t>
      </w:r>
    </w:p>
    <w:p w14:paraId="561214B8" w14:textId="77777777" w:rsidR="00F50EA3" w:rsidRDefault="00F50EA3" w:rsidP="00F50EA3">
      <w:pPr>
        <w:jc w:val="both"/>
        <w:rPr>
          <w:sz w:val="16"/>
          <w:szCs w:val="16"/>
        </w:rPr>
      </w:pPr>
    </w:p>
    <w:p w14:paraId="0EB1C55E" w14:textId="77777777" w:rsidR="00F50EA3" w:rsidRDefault="00F50EA3" w:rsidP="00F50EA3">
      <w:pPr>
        <w:jc w:val="both"/>
        <w:rPr>
          <w:sz w:val="16"/>
          <w:szCs w:val="16"/>
        </w:rPr>
      </w:pPr>
    </w:p>
    <w:p w14:paraId="54ED578D" w14:textId="77777777" w:rsidR="00F50EA3" w:rsidRDefault="00F50EA3" w:rsidP="00F50EA3">
      <w:pPr>
        <w:jc w:val="both"/>
        <w:rPr>
          <w:sz w:val="16"/>
          <w:szCs w:val="16"/>
        </w:rPr>
      </w:pPr>
    </w:p>
    <w:p w14:paraId="3044A31A" w14:textId="77777777" w:rsidR="00F50EA3" w:rsidRDefault="00F50EA3" w:rsidP="00F50EA3">
      <w:pPr>
        <w:jc w:val="both"/>
        <w:rPr>
          <w:b/>
          <w:sz w:val="28"/>
          <w:szCs w:val="28"/>
        </w:rPr>
      </w:pPr>
      <w:r w:rsidRPr="00AC2002">
        <w:rPr>
          <w:b/>
          <w:sz w:val="28"/>
          <w:szCs w:val="28"/>
        </w:rPr>
        <w:lastRenderedPageBreak/>
        <w:t>Section 1.</w:t>
      </w:r>
      <w:r>
        <w:rPr>
          <w:b/>
          <w:sz w:val="28"/>
          <w:szCs w:val="28"/>
        </w:rPr>
        <w:t>3</w:t>
      </w:r>
      <w:r w:rsidRPr="00AC2002">
        <w:rPr>
          <w:b/>
          <w:sz w:val="28"/>
          <w:szCs w:val="28"/>
        </w:rPr>
        <w:t xml:space="preserve">: </w:t>
      </w:r>
      <w:r>
        <w:rPr>
          <w:b/>
          <w:sz w:val="28"/>
          <w:szCs w:val="28"/>
        </w:rPr>
        <w:t>Insignificant Activities List</w:t>
      </w:r>
    </w:p>
    <w:p w14:paraId="5431DEFB" w14:textId="77777777" w:rsidR="00F50EA3" w:rsidRDefault="00F50EA3" w:rsidP="00F50EA3">
      <w:pPr>
        <w:jc w:val="both"/>
        <w:rPr>
          <w:b/>
          <w:sz w:val="28"/>
          <w:szCs w:val="28"/>
        </w:rPr>
      </w:pPr>
    </w:p>
    <w:p w14:paraId="1844286A" w14:textId="77777777" w:rsidR="00F50EA3" w:rsidRPr="009319CB" w:rsidRDefault="00F50EA3" w:rsidP="00F50EA3">
      <w:pPr>
        <w:pStyle w:val="Header"/>
        <w:tabs>
          <w:tab w:val="clear" w:pos="4320"/>
          <w:tab w:val="clear" w:pos="8640"/>
          <w:tab w:val="left" w:pos="6840"/>
        </w:tabs>
        <w:rPr>
          <w:b/>
          <w:bCs/>
          <w:sz w:val="22"/>
          <w:szCs w:val="22"/>
        </w:rPr>
      </w:pPr>
      <w:r w:rsidRPr="009319CB">
        <w:rPr>
          <w:b/>
          <w:bCs/>
          <w:sz w:val="22"/>
          <w:szCs w:val="22"/>
        </w:rPr>
        <w:t xml:space="preserve">FACILITY NAME:  </w:t>
      </w:r>
      <w:r w:rsidR="00C256B2" w:rsidRPr="009319CB">
        <w:rPr>
          <w:b/>
          <w:bCs/>
          <w:sz w:val="22"/>
          <w:szCs w:val="22"/>
        </w:rPr>
        <w:fldChar w:fldCharType="begin">
          <w:ffData>
            <w:name w:val="FacName"/>
            <w:enabled/>
            <w:calcOnExit w:val="0"/>
            <w:textInput/>
          </w:ffData>
        </w:fldChar>
      </w:r>
      <w:r w:rsidRPr="009319CB">
        <w:rPr>
          <w:b/>
          <w:bCs/>
          <w:sz w:val="22"/>
          <w:szCs w:val="22"/>
        </w:rPr>
        <w:instrText xml:space="preserve"> FORMTEXT </w:instrText>
      </w:r>
      <w:r w:rsidR="00C256B2" w:rsidRPr="009319CB">
        <w:rPr>
          <w:b/>
          <w:bCs/>
          <w:sz w:val="22"/>
          <w:szCs w:val="22"/>
        </w:rPr>
      </w:r>
      <w:r w:rsidR="00C256B2" w:rsidRPr="009319CB">
        <w:rPr>
          <w:b/>
          <w:bCs/>
          <w:sz w:val="22"/>
          <w:szCs w:val="22"/>
        </w:rPr>
        <w:fldChar w:fldCharType="separate"/>
      </w:r>
      <w:r w:rsidRPr="009319CB">
        <w:rPr>
          <w:b/>
          <w:bCs/>
          <w:noProof/>
          <w:sz w:val="22"/>
          <w:szCs w:val="22"/>
        </w:rPr>
        <w:t> </w:t>
      </w:r>
      <w:r w:rsidRPr="009319CB">
        <w:rPr>
          <w:b/>
          <w:bCs/>
          <w:noProof/>
          <w:sz w:val="22"/>
          <w:szCs w:val="22"/>
        </w:rPr>
        <w:t> </w:t>
      </w:r>
      <w:r w:rsidRPr="009319CB">
        <w:rPr>
          <w:b/>
          <w:bCs/>
          <w:noProof/>
          <w:sz w:val="22"/>
          <w:szCs w:val="22"/>
        </w:rPr>
        <w:t> </w:t>
      </w:r>
      <w:r w:rsidRPr="009319CB">
        <w:rPr>
          <w:b/>
          <w:bCs/>
          <w:noProof/>
          <w:sz w:val="22"/>
          <w:szCs w:val="22"/>
        </w:rPr>
        <w:t> </w:t>
      </w:r>
      <w:r w:rsidRPr="009319CB">
        <w:rPr>
          <w:b/>
          <w:bCs/>
          <w:noProof/>
          <w:sz w:val="22"/>
          <w:szCs w:val="22"/>
        </w:rPr>
        <w:t> </w:t>
      </w:r>
      <w:r w:rsidR="00C256B2" w:rsidRPr="009319CB">
        <w:rPr>
          <w:b/>
          <w:bCs/>
          <w:sz w:val="22"/>
          <w:szCs w:val="22"/>
        </w:rPr>
        <w:fldChar w:fldCharType="end"/>
      </w:r>
      <w:r w:rsidRPr="009319CB">
        <w:rPr>
          <w:b/>
          <w:bCs/>
          <w:sz w:val="22"/>
          <w:szCs w:val="22"/>
        </w:rPr>
        <w:t xml:space="preserve"> </w:t>
      </w:r>
      <w:r w:rsidRPr="009319CB">
        <w:rPr>
          <w:b/>
          <w:bCs/>
          <w:sz w:val="22"/>
          <w:szCs w:val="22"/>
        </w:rPr>
        <w:tab/>
        <w:t xml:space="preserve">DATE:  </w:t>
      </w:r>
      <w:r w:rsidR="00C256B2" w:rsidRPr="009319CB">
        <w:rPr>
          <w:b/>
          <w:bCs/>
          <w:sz w:val="22"/>
          <w:szCs w:val="22"/>
        </w:rPr>
        <w:fldChar w:fldCharType="begin">
          <w:ffData>
            <w:name w:val="Text4"/>
            <w:enabled/>
            <w:calcOnExit w:val="0"/>
            <w:textInput/>
          </w:ffData>
        </w:fldChar>
      </w:r>
      <w:r w:rsidRPr="009319CB">
        <w:rPr>
          <w:b/>
          <w:bCs/>
          <w:sz w:val="22"/>
          <w:szCs w:val="22"/>
        </w:rPr>
        <w:instrText xml:space="preserve"> FORMTEXT </w:instrText>
      </w:r>
      <w:r w:rsidR="00C256B2" w:rsidRPr="009319CB">
        <w:rPr>
          <w:b/>
          <w:bCs/>
          <w:sz w:val="22"/>
          <w:szCs w:val="22"/>
        </w:rPr>
      </w:r>
      <w:r w:rsidR="00C256B2" w:rsidRPr="009319CB">
        <w:rPr>
          <w:b/>
          <w:bCs/>
          <w:sz w:val="22"/>
          <w:szCs w:val="22"/>
        </w:rPr>
        <w:fldChar w:fldCharType="separate"/>
      </w:r>
      <w:r w:rsidRPr="009319CB">
        <w:rPr>
          <w:b/>
          <w:bCs/>
          <w:noProof/>
          <w:sz w:val="22"/>
          <w:szCs w:val="22"/>
        </w:rPr>
        <w:t> </w:t>
      </w:r>
      <w:r w:rsidRPr="009319CB">
        <w:rPr>
          <w:b/>
          <w:bCs/>
          <w:noProof/>
          <w:sz w:val="22"/>
          <w:szCs w:val="22"/>
        </w:rPr>
        <w:t> </w:t>
      </w:r>
      <w:r w:rsidRPr="009319CB">
        <w:rPr>
          <w:b/>
          <w:bCs/>
          <w:noProof/>
          <w:sz w:val="22"/>
          <w:szCs w:val="22"/>
        </w:rPr>
        <w:t> </w:t>
      </w:r>
      <w:r w:rsidRPr="009319CB">
        <w:rPr>
          <w:b/>
          <w:bCs/>
          <w:noProof/>
          <w:sz w:val="22"/>
          <w:szCs w:val="22"/>
        </w:rPr>
        <w:t> </w:t>
      </w:r>
      <w:r w:rsidRPr="009319CB">
        <w:rPr>
          <w:b/>
          <w:bCs/>
          <w:noProof/>
          <w:sz w:val="22"/>
          <w:szCs w:val="22"/>
        </w:rPr>
        <w:t> </w:t>
      </w:r>
      <w:r w:rsidR="00C256B2" w:rsidRPr="009319CB">
        <w:rPr>
          <w:b/>
          <w:bCs/>
          <w:sz w:val="22"/>
          <w:szCs w:val="22"/>
        </w:rPr>
        <w:fldChar w:fldCharType="end"/>
      </w:r>
    </w:p>
    <w:p w14:paraId="09CF2D33" w14:textId="2C698700" w:rsidR="00F50EA3" w:rsidRPr="009319CB" w:rsidRDefault="00873694" w:rsidP="00F50EA3">
      <w:pPr>
        <w:rPr>
          <w:b/>
          <w:bCs/>
          <w:sz w:val="22"/>
          <w:szCs w:val="22"/>
        </w:rPr>
      </w:pPr>
      <w:r>
        <w:rPr>
          <w:b/>
          <w:bCs/>
          <w:noProof/>
          <w:sz w:val="22"/>
          <w:szCs w:val="22"/>
        </w:rPr>
        <mc:AlternateContent>
          <mc:Choice Requires="wps">
            <w:drawing>
              <wp:anchor distT="0" distB="0" distL="114300" distR="114300" simplePos="0" relativeHeight="251663360" behindDoc="0" locked="0" layoutInCell="1" allowOverlap="1" wp14:anchorId="43BFE233" wp14:editId="42B81E27">
                <wp:simplePos x="0" y="0"/>
                <wp:positionH relativeFrom="column">
                  <wp:posOffset>4858385</wp:posOffset>
                </wp:positionH>
                <wp:positionV relativeFrom="paragraph">
                  <wp:posOffset>45720</wp:posOffset>
                </wp:positionV>
                <wp:extent cx="1524000" cy="0"/>
                <wp:effectExtent l="10160" t="10160" r="8890"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69E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5pt,3.6pt" to="502.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"/>
            </w:pict>
          </mc:Fallback>
        </mc:AlternateContent>
      </w:r>
      <w:r>
        <w:rPr>
          <w:b/>
          <w:bCs/>
          <w:noProof/>
          <w:sz w:val="22"/>
          <w:szCs w:val="22"/>
        </w:rPr>
        <mc:AlternateContent>
          <mc:Choice Requires="wps">
            <w:drawing>
              <wp:anchor distT="0" distB="0" distL="114300" distR="114300" simplePos="0" relativeHeight="251661312" behindDoc="0" locked="0" layoutInCell="1" allowOverlap="1" wp14:anchorId="3355A5C8" wp14:editId="07CF83EF">
                <wp:simplePos x="0" y="0"/>
                <wp:positionH relativeFrom="column">
                  <wp:posOffset>1254760</wp:posOffset>
                </wp:positionH>
                <wp:positionV relativeFrom="paragraph">
                  <wp:posOffset>37465</wp:posOffset>
                </wp:positionV>
                <wp:extent cx="3017520" cy="0"/>
                <wp:effectExtent l="6985" t="11430" r="13970" b="762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D1C2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2.95pt" to="336.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"/>
            </w:pict>
          </mc:Fallback>
        </mc:AlternateContent>
      </w:r>
    </w:p>
    <w:p w14:paraId="6C05A3F7" w14:textId="005FEA81" w:rsidR="00F50EA3" w:rsidRPr="009319CB" w:rsidRDefault="008D1DCC" w:rsidP="00F50EA3">
      <w:pPr>
        <w:rPr>
          <w:b/>
          <w:bCs/>
          <w:sz w:val="22"/>
          <w:szCs w:val="22"/>
        </w:rPr>
      </w:pPr>
      <w:r w:rsidRPr="009319CB">
        <w:rPr>
          <w:b/>
          <w:bCs/>
          <w:sz w:val="22"/>
          <w:szCs w:val="22"/>
        </w:rPr>
        <w:t>NDE</w:t>
      </w:r>
      <w:r>
        <w:rPr>
          <w:b/>
          <w:bCs/>
          <w:sz w:val="22"/>
          <w:szCs w:val="22"/>
        </w:rPr>
        <w:t>E</w:t>
      </w:r>
      <w:r w:rsidRPr="009319CB">
        <w:rPr>
          <w:b/>
          <w:bCs/>
          <w:sz w:val="22"/>
          <w:szCs w:val="22"/>
        </w:rPr>
        <w:t xml:space="preserve"> </w:t>
      </w:r>
      <w:r w:rsidR="00F50EA3" w:rsidRPr="009319CB">
        <w:rPr>
          <w:b/>
          <w:bCs/>
          <w:sz w:val="22"/>
          <w:szCs w:val="22"/>
        </w:rPr>
        <w:t xml:space="preserve">FACILITY ID#:  </w:t>
      </w:r>
      <w:r w:rsidR="00C256B2" w:rsidRPr="009319CB">
        <w:rPr>
          <w:b/>
          <w:bCs/>
          <w:sz w:val="22"/>
          <w:szCs w:val="22"/>
        </w:rPr>
        <w:fldChar w:fldCharType="begin">
          <w:ffData>
            <w:name w:val="Text3"/>
            <w:enabled/>
            <w:calcOnExit w:val="0"/>
            <w:textInput/>
          </w:ffData>
        </w:fldChar>
      </w:r>
      <w:r w:rsidR="00F50EA3" w:rsidRPr="009319CB">
        <w:rPr>
          <w:b/>
          <w:bCs/>
          <w:sz w:val="22"/>
          <w:szCs w:val="22"/>
        </w:rPr>
        <w:instrText xml:space="preserve"> FORMTEXT </w:instrText>
      </w:r>
      <w:r w:rsidR="00C256B2" w:rsidRPr="009319CB">
        <w:rPr>
          <w:b/>
          <w:bCs/>
          <w:sz w:val="22"/>
          <w:szCs w:val="22"/>
        </w:rPr>
      </w:r>
      <w:r w:rsidR="00C256B2" w:rsidRPr="009319CB">
        <w:rPr>
          <w:b/>
          <w:bCs/>
          <w:sz w:val="22"/>
          <w:szCs w:val="22"/>
        </w:rPr>
        <w:fldChar w:fldCharType="separate"/>
      </w:r>
      <w:r w:rsidR="00F50EA3" w:rsidRPr="009319CB">
        <w:rPr>
          <w:b/>
          <w:bCs/>
          <w:noProof/>
          <w:sz w:val="22"/>
          <w:szCs w:val="22"/>
        </w:rPr>
        <w:t> </w:t>
      </w:r>
      <w:r w:rsidR="00F50EA3" w:rsidRPr="009319CB">
        <w:rPr>
          <w:b/>
          <w:bCs/>
          <w:noProof/>
          <w:sz w:val="22"/>
          <w:szCs w:val="22"/>
        </w:rPr>
        <w:t> </w:t>
      </w:r>
      <w:r w:rsidR="00F50EA3" w:rsidRPr="009319CB">
        <w:rPr>
          <w:b/>
          <w:bCs/>
          <w:noProof/>
          <w:sz w:val="22"/>
          <w:szCs w:val="22"/>
        </w:rPr>
        <w:t> </w:t>
      </w:r>
      <w:r w:rsidR="00F50EA3" w:rsidRPr="009319CB">
        <w:rPr>
          <w:b/>
          <w:bCs/>
          <w:noProof/>
          <w:sz w:val="22"/>
          <w:szCs w:val="22"/>
        </w:rPr>
        <w:t> </w:t>
      </w:r>
      <w:r w:rsidR="00F50EA3" w:rsidRPr="009319CB">
        <w:rPr>
          <w:b/>
          <w:bCs/>
          <w:noProof/>
          <w:sz w:val="22"/>
          <w:szCs w:val="22"/>
        </w:rPr>
        <w:t> </w:t>
      </w:r>
      <w:r w:rsidR="00C256B2" w:rsidRPr="009319CB">
        <w:rPr>
          <w:b/>
          <w:bCs/>
          <w:sz w:val="22"/>
          <w:szCs w:val="22"/>
        </w:rPr>
        <w:fldChar w:fldCharType="end"/>
      </w:r>
    </w:p>
    <w:p w14:paraId="2F701B8A" w14:textId="71A5C62D" w:rsidR="00F50EA3" w:rsidRPr="009319CB" w:rsidRDefault="00873694" w:rsidP="00F50EA3">
      <w:pPr>
        <w:rPr>
          <w:b/>
          <w:bCs/>
          <w:sz w:val="22"/>
          <w:szCs w:val="22"/>
        </w:rPr>
      </w:pPr>
      <w:r>
        <w:rPr>
          <w:b/>
          <w:bCs/>
          <w:noProof/>
          <w:sz w:val="22"/>
          <w:szCs w:val="22"/>
        </w:rPr>
        <mc:AlternateContent>
          <mc:Choice Requires="wps">
            <w:drawing>
              <wp:anchor distT="0" distB="0" distL="114300" distR="114300" simplePos="0" relativeHeight="251662336" behindDoc="0" locked="0" layoutInCell="1" allowOverlap="1" wp14:anchorId="77C5A8AB" wp14:editId="6460D3AF">
                <wp:simplePos x="0" y="0"/>
                <wp:positionH relativeFrom="column">
                  <wp:posOffset>1485900</wp:posOffset>
                </wp:positionH>
                <wp:positionV relativeFrom="paragraph">
                  <wp:posOffset>40005</wp:posOffset>
                </wp:positionV>
                <wp:extent cx="1828800" cy="0"/>
                <wp:effectExtent l="9525" t="11430" r="952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CD6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5pt" to="2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"/>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14"/>
      </w:tblGrid>
      <w:tr w:rsidR="00F50EA3" w:rsidRPr="00F14F57" w14:paraId="527ED575" w14:textId="77777777" w:rsidTr="00EE6700">
        <w:trPr>
          <w:trHeight w:val="540"/>
        </w:trPr>
        <w:tc>
          <w:tcPr>
            <w:tcW w:w="10440" w:type="dxa"/>
          </w:tcPr>
          <w:p w14:paraId="7ADD4AAE" w14:textId="77777777" w:rsidR="00F50EA3" w:rsidRPr="00474DAA" w:rsidRDefault="00F50EA3" w:rsidP="00EE6700">
            <w:pPr>
              <w:tabs>
                <w:tab w:val="left" w:pos="4302"/>
                <w:tab w:val="left" w:pos="7182"/>
              </w:tabs>
              <w:spacing w:before="20" w:after="20"/>
              <w:rPr>
                <w:b/>
                <w:sz w:val="22"/>
                <w:szCs w:val="22"/>
              </w:rPr>
            </w:pPr>
            <w:r w:rsidRPr="00474DAA">
              <w:rPr>
                <w:b/>
                <w:caps/>
                <w:u w:val="single"/>
              </w:rPr>
              <w:t>IMPORTANT:</w:t>
            </w:r>
            <w:r w:rsidRPr="00474DAA">
              <w:rPr>
                <w:b/>
                <w:caps/>
              </w:rPr>
              <w:t xml:space="preserve">  </w:t>
            </w:r>
            <w:r w:rsidRPr="00474DAA">
              <w:rPr>
                <w:b/>
                <w:caps/>
                <w:sz w:val="22"/>
                <w:szCs w:val="22"/>
              </w:rPr>
              <w:t xml:space="preserve">Please read the INSTRUCTIONS found in Section 1.3.1 (Class I) or Section 1.3.2 (Class II) to determine which activities </w:t>
            </w:r>
            <w:smartTag w:uri="urn:schemas-microsoft-com:office:smarttags" w:element="stockticker">
              <w:r w:rsidRPr="00474DAA">
                <w:rPr>
                  <w:b/>
                  <w:caps/>
                  <w:sz w:val="22"/>
                  <w:szCs w:val="22"/>
                </w:rPr>
                <w:t>are</w:t>
              </w:r>
            </w:smartTag>
            <w:r w:rsidRPr="00474DAA">
              <w:rPr>
                <w:b/>
                <w:caps/>
                <w:sz w:val="22"/>
                <w:szCs w:val="22"/>
              </w:rPr>
              <w:t xml:space="preserve"> considered insignificant.</w:t>
            </w:r>
            <w:r w:rsidRPr="00474DAA">
              <w:rPr>
                <w:b/>
                <w:sz w:val="22"/>
                <w:szCs w:val="22"/>
              </w:rPr>
              <w:t xml:space="preserve"> </w:t>
            </w:r>
          </w:p>
          <w:p w14:paraId="1686F557" w14:textId="77777777" w:rsidR="00F50EA3" w:rsidRPr="00F14F57" w:rsidRDefault="00F50EA3" w:rsidP="00EE6700">
            <w:pPr>
              <w:tabs>
                <w:tab w:val="left" w:pos="4302"/>
                <w:tab w:val="left" w:pos="7182"/>
              </w:tabs>
              <w:spacing w:before="20" w:after="20"/>
            </w:pPr>
            <w:r w:rsidRPr="00474DAA">
              <w:rPr>
                <w:b/>
                <w:sz w:val="22"/>
                <w:szCs w:val="22"/>
              </w:rPr>
              <w:t xml:space="preserve">Please type responses or use black ink.  Do </w:t>
            </w:r>
            <w:r w:rsidRPr="00474DAA">
              <w:rPr>
                <w:b/>
                <w:sz w:val="22"/>
                <w:szCs w:val="22"/>
                <w:u w:val="single"/>
              </w:rPr>
              <w:t>NOT</w:t>
            </w:r>
            <w:r w:rsidRPr="00474DAA">
              <w:rPr>
                <w:b/>
                <w:sz w:val="22"/>
                <w:szCs w:val="22"/>
              </w:rPr>
              <w:t xml:space="preserve"> use pencil.</w:t>
            </w:r>
          </w:p>
        </w:tc>
      </w:tr>
    </w:tbl>
    <w:p w14:paraId="66CFD4F3" w14:textId="77777777" w:rsidR="00F50EA3" w:rsidRDefault="00F50EA3" w:rsidP="00F50EA3">
      <w:pPr>
        <w:ind w:right="72"/>
        <w:rPr>
          <w:sz w:val="22"/>
          <w:szCs w:val="22"/>
        </w:rPr>
      </w:pPr>
    </w:p>
    <w:p w14:paraId="4E295A40" w14:textId="77777777" w:rsidR="00F50EA3" w:rsidRDefault="00F50EA3" w:rsidP="00F50EA3">
      <w:pPr>
        <w:spacing w:after="120"/>
        <w:ind w:right="72"/>
        <w:rPr>
          <w:b/>
          <w:sz w:val="22"/>
          <w:szCs w:val="22"/>
        </w:rPr>
      </w:pPr>
      <w:r w:rsidRPr="00CD2C9D">
        <w:rPr>
          <w:sz w:val="22"/>
          <w:szCs w:val="22"/>
        </w:rPr>
        <w:t>List all insignificant activi</w:t>
      </w:r>
      <w:r>
        <w:rPr>
          <w:sz w:val="22"/>
          <w:szCs w:val="22"/>
        </w:rPr>
        <w:t xml:space="preserve">ties located at your facility. </w:t>
      </w:r>
      <w:r w:rsidRPr="00CD2C9D">
        <w:rPr>
          <w:sz w:val="22"/>
          <w:szCs w:val="22"/>
        </w:rPr>
        <w:t xml:space="preserve">Be sure to include enough information in the description to support the activity’s classification as insignificant. </w:t>
      </w:r>
      <w:r>
        <w:rPr>
          <w:sz w:val="22"/>
          <w:szCs w:val="22"/>
        </w:rPr>
        <w:t xml:space="preserve"> </w:t>
      </w:r>
      <w:r w:rsidRPr="00CD2C9D">
        <w:rPr>
          <w:sz w:val="22"/>
          <w:szCs w:val="22"/>
        </w:rPr>
        <w:t>If an insignificant activity has an assigned emission unit identification number, please include the identification number in the description.</w:t>
      </w:r>
    </w:p>
    <w:p w14:paraId="23781947" w14:textId="77777777" w:rsidR="00F50EA3" w:rsidRDefault="00F50EA3" w:rsidP="00F50EA3">
      <w:pPr>
        <w:pStyle w:val="Header"/>
        <w:tabs>
          <w:tab w:val="clear" w:pos="4320"/>
          <w:tab w:val="clear" w:pos="8640"/>
        </w:tabs>
        <w:spacing w:after="120"/>
        <w:ind w:left="-360" w:right="-720"/>
        <w:jc w:val="center"/>
        <w:rPr>
          <w:b/>
          <w:bCs/>
        </w:rPr>
      </w:pPr>
      <w:r>
        <w:rPr>
          <w:b/>
          <w:bCs/>
        </w:rPr>
        <w:t>Table 1: Insignificant Activities Summary</w:t>
      </w:r>
    </w:p>
    <w:tbl>
      <w:tblPr>
        <w:tblW w:w="1026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3600"/>
        <w:gridCol w:w="6660"/>
      </w:tblGrid>
      <w:tr w:rsidR="00F50EA3" w:rsidRPr="00474DAA" w14:paraId="32D7D87D" w14:textId="77777777" w:rsidTr="00EE6700">
        <w:trPr>
          <w:trHeight w:val="432"/>
        </w:trPr>
        <w:tc>
          <w:tcPr>
            <w:tcW w:w="3600" w:type="dxa"/>
            <w:vAlign w:val="center"/>
          </w:tcPr>
          <w:p w14:paraId="516E6BF8" w14:textId="77777777" w:rsidR="00F50EA3" w:rsidRPr="00474DAA" w:rsidRDefault="00F50EA3" w:rsidP="00EE6700">
            <w:pPr>
              <w:pStyle w:val="Header"/>
              <w:tabs>
                <w:tab w:val="clear" w:pos="4320"/>
                <w:tab w:val="clear" w:pos="8640"/>
                <w:tab w:val="left" w:pos="1932"/>
              </w:tabs>
              <w:ind w:left="-108" w:right="-102"/>
              <w:jc w:val="center"/>
              <w:rPr>
                <w:b/>
                <w:bCs/>
              </w:rPr>
            </w:pPr>
            <w:r w:rsidRPr="00474DAA">
              <w:rPr>
                <w:b/>
                <w:bCs/>
              </w:rPr>
              <w:t>Insignificant Activity</w:t>
            </w:r>
          </w:p>
        </w:tc>
        <w:tc>
          <w:tcPr>
            <w:tcW w:w="6660" w:type="dxa"/>
            <w:vAlign w:val="center"/>
          </w:tcPr>
          <w:p w14:paraId="1430E542" w14:textId="77777777" w:rsidR="00F50EA3" w:rsidRPr="00474DAA" w:rsidRDefault="00F50EA3" w:rsidP="00EE6700">
            <w:pPr>
              <w:pStyle w:val="Header"/>
              <w:tabs>
                <w:tab w:val="clear" w:pos="4320"/>
                <w:tab w:val="clear" w:pos="8640"/>
                <w:tab w:val="left" w:pos="1932"/>
              </w:tabs>
              <w:ind w:left="-108" w:right="-102"/>
              <w:jc w:val="center"/>
              <w:rPr>
                <w:b/>
                <w:bCs/>
              </w:rPr>
            </w:pPr>
            <w:r w:rsidRPr="00474DAA">
              <w:rPr>
                <w:b/>
                <w:bCs/>
              </w:rPr>
              <w:t>Description</w:t>
            </w:r>
          </w:p>
        </w:tc>
      </w:tr>
      <w:tr w:rsidR="00F50EA3" w:rsidRPr="00474DAA" w14:paraId="5265D142" w14:textId="77777777" w:rsidTr="00EE6700">
        <w:trPr>
          <w:trHeight w:val="432"/>
        </w:trPr>
        <w:tc>
          <w:tcPr>
            <w:tcW w:w="3600" w:type="dxa"/>
            <w:vAlign w:val="center"/>
          </w:tcPr>
          <w:p w14:paraId="1D990024"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11A7188F"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D607CA0" w14:textId="77777777" w:rsidTr="00EE6700">
        <w:trPr>
          <w:trHeight w:val="432"/>
        </w:trPr>
        <w:tc>
          <w:tcPr>
            <w:tcW w:w="3600" w:type="dxa"/>
            <w:vAlign w:val="center"/>
          </w:tcPr>
          <w:p w14:paraId="2719AA5E"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1EA9A660"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23EC2CB" w14:textId="77777777" w:rsidTr="00EE6700">
        <w:trPr>
          <w:trHeight w:val="432"/>
        </w:trPr>
        <w:tc>
          <w:tcPr>
            <w:tcW w:w="3600" w:type="dxa"/>
            <w:vAlign w:val="center"/>
          </w:tcPr>
          <w:p w14:paraId="2999F878"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12DDCE44"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5A0CD5D1" w14:textId="77777777" w:rsidTr="00EE6700">
        <w:trPr>
          <w:trHeight w:val="432"/>
        </w:trPr>
        <w:tc>
          <w:tcPr>
            <w:tcW w:w="3600" w:type="dxa"/>
            <w:vAlign w:val="center"/>
          </w:tcPr>
          <w:p w14:paraId="1CC3D983"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207C426B"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770E880" w14:textId="77777777" w:rsidTr="00EE6700">
        <w:trPr>
          <w:trHeight w:val="432"/>
        </w:trPr>
        <w:tc>
          <w:tcPr>
            <w:tcW w:w="3600" w:type="dxa"/>
            <w:vAlign w:val="center"/>
          </w:tcPr>
          <w:p w14:paraId="39738FB0"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215C27D5"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18167F5" w14:textId="77777777" w:rsidTr="00EE6700">
        <w:trPr>
          <w:trHeight w:val="432"/>
        </w:trPr>
        <w:tc>
          <w:tcPr>
            <w:tcW w:w="3600" w:type="dxa"/>
            <w:vAlign w:val="center"/>
          </w:tcPr>
          <w:p w14:paraId="71945355"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624DE61A"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775F4E35" w14:textId="77777777" w:rsidTr="00EE6700">
        <w:trPr>
          <w:trHeight w:val="432"/>
        </w:trPr>
        <w:tc>
          <w:tcPr>
            <w:tcW w:w="3600" w:type="dxa"/>
            <w:vAlign w:val="center"/>
          </w:tcPr>
          <w:p w14:paraId="3C7E0D27"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4ACB6144"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3C09FB3C" w14:textId="77777777" w:rsidTr="00EE6700">
        <w:trPr>
          <w:trHeight w:val="432"/>
        </w:trPr>
        <w:tc>
          <w:tcPr>
            <w:tcW w:w="3600" w:type="dxa"/>
            <w:vAlign w:val="center"/>
          </w:tcPr>
          <w:p w14:paraId="1E4845A9"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55A5285A"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7E5099EF" w14:textId="77777777" w:rsidTr="00EE6700">
        <w:trPr>
          <w:trHeight w:val="432"/>
        </w:trPr>
        <w:tc>
          <w:tcPr>
            <w:tcW w:w="3600" w:type="dxa"/>
            <w:vAlign w:val="center"/>
          </w:tcPr>
          <w:p w14:paraId="65F7EDE8"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736ED790"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91AD89E" w14:textId="77777777" w:rsidTr="00EE6700">
        <w:trPr>
          <w:trHeight w:val="432"/>
        </w:trPr>
        <w:tc>
          <w:tcPr>
            <w:tcW w:w="3600" w:type="dxa"/>
            <w:vAlign w:val="center"/>
          </w:tcPr>
          <w:p w14:paraId="752E51F1"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0D0A8EF4"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4ADEAA21" w14:textId="77777777" w:rsidTr="00EE6700">
        <w:trPr>
          <w:trHeight w:val="432"/>
        </w:trPr>
        <w:tc>
          <w:tcPr>
            <w:tcW w:w="3600" w:type="dxa"/>
            <w:vAlign w:val="center"/>
          </w:tcPr>
          <w:p w14:paraId="45F50528" w14:textId="77777777" w:rsidR="00F50EA3" w:rsidRPr="00474DAA" w:rsidRDefault="00C256B2" w:rsidP="00EE6700">
            <w:pPr>
              <w:pStyle w:val="Header"/>
              <w:tabs>
                <w:tab w:val="clear" w:pos="4320"/>
                <w:tab w:val="clear" w:pos="8640"/>
                <w:tab w:val="left" w:pos="1932"/>
              </w:tabs>
              <w:ind w:right="-102"/>
              <w:rPr>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63D3AE9D" w14:textId="77777777" w:rsidR="00F50EA3" w:rsidRPr="00474DAA" w:rsidRDefault="00C256B2" w:rsidP="00EE6700">
            <w:pPr>
              <w:pStyle w:val="Header"/>
              <w:tabs>
                <w:tab w:val="clear" w:pos="4320"/>
                <w:tab w:val="clear" w:pos="8640"/>
                <w:tab w:val="left" w:pos="1932"/>
              </w:tabs>
              <w:ind w:right="-102"/>
              <w:rPr>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5CA1B216" w14:textId="77777777" w:rsidTr="00EE6700">
        <w:trPr>
          <w:trHeight w:val="432"/>
        </w:trPr>
        <w:tc>
          <w:tcPr>
            <w:tcW w:w="3600" w:type="dxa"/>
            <w:vAlign w:val="center"/>
          </w:tcPr>
          <w:p w14:paraId="5B319FCF"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19CCB0A7"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485AABD1" w14:textId="77777777" w:rsidTr="00EE6700">
        <w:trPr>
          <w:trHeight w:val="432"/>
        </w:trPr>
        <w:tc>
          <w:tcPr>
            <w:tcW w:w="3600" w:type="dxa"/>
            <w:vAlign w:val="center"/>
          </w:tcPr>
          <w:p w14:paraId="4239D168"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3F234D56"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9AB463B" w14:textId="77777777" w:rsidTr="00EE6700">
        <w:trPr>
          <w:trHeight w:val="432"/>
        </w:trPr>
        <w:tc>
          <w:tcPr>
            <w:tcW w:w="3600" w:type="dxa"/>
            <w:vAlign w:val="center"/>
          </w:tcPr>
          <w:p w14:paraId="597E4704"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6660" w:type="dxa"/>
            <w:vAlign w:val="center"/>
          </w:tcPr>
          <w:p w14:paraId="5C775957" w14:textId="77777777" w:rsidR="00F50EA3" w:rsidRPr="00474DAA" w:rsidRDefault="00C256B2" w:rsidP="00EE6700">
            <w:pPr>
              <w:pStyle w:val="Header"/>
              <w:tabs>
                <w:tab w:val="clear" w:pos="4320"/>
                <w:tab w:val="clear" w:pos="8640"/>
                <w:tab w:val="left" w:pos="1932"/>
              </w:tabs>
              <w:ind w:right="-102"/>
              <w:rPr>
                <w:b/>
                <w:bCs/>
                <w:sz w:val="22"/>
              </w:rP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bl>
    <w:p w14:paraId="6AB2274A" w14:textId="77777777" w:rsidR="00F50EA3" w:rsidRDefault="00F50EA3" w:rsidP="00F50EA3">
      <w:pPr>
        <w:rPr>
          <w:b/>
          <w:sz w:val="22"/>
          <w:szCs w:val="22"/>
        </w:rPr>
      </w:pPr>
      <w:r w:rsidRPr="003E7449">
        <w:rPr>
          <w:b/>
          <w:sz w:val="22"/>
          <w:szCs w:val="22"/>
        </w:rPr>
        <w:t xml:space="preserve">Note: </w:t>
      </w:r>
      <w:r>
        <w:rPr>
          <w:b/>
          <w:sz w:val="22"/>
          <w:szCs w:val="22"/>
        </w:rPr>
        <w:t>A</w:t>
      </w:r>
      <w:r w:rsidRPr="003E7449">
        <w:rPr>
          <w:b/>
          <w:sz w:val="22"/>
          <w:szCs w:val="22"/>
        </w:rPr>
        <w:t>ttach addi</w:t>
      </w:r>
      <w:r>
        <w:rPr>
          <w:b/>
          <w:sz w:val="22"/>
          <w:szCs w:val="22"/>
        </w:rPr>
        <w:t>tional copies of this</w:t>
      </w:r>
      <w:r w:rsidRPr="003E7449">
        <w:rPr>
          <w:b/>
          <w:sz w:val="22"/>
          <w:szCs w:val="22"/>
        </w:rPr>
        <w:t xml:space="preserve"> table </w:t>
      </w:r>
      <w:r>
        <w:rPr>
          <w:b/>
          <w:sz w:val="22"/>
          <w:szCs w:val="22"/>
        </w:rPr>
        <w:t>as necessary.</w:t>
      </w:r>
    </w:p>
    <w:p w14:paraId="4F9A2443" w14:textId="77777777" w:rsidR="00F50EA3" w:rsidRDefault="00F50EA3" w:rsidP="00F50EA3">
      <w:pPr>
        <w:rPr>
          <w:b/>
          <w:sz w:val="22"/>
          <w:szCs w:val="22"/>
        </w:rPr>
      </w:pPr>
    </w:p>
    <w:p w14:paraId="676E0B22" w14:textId="77777777" w:rsidR="00F50EA3" w:rsidRDefault="00F50EA3" w:rsidP="00F50EA3">
      <w:pPr>
        <w:rPr>
          <w:b/>
          <w:sz w:val="22"/>
          <w:szCs w:val="22"/>
        </w:rPr>
      </w:pPr>
    </w:p>
    <w:p w14:paraId="03AE0DAB" w14:textId="77777777" w:rsidR="00333158" w:rsidRDefault="00333158" w:rsidP="00F50EA3">
      <w:pPr>
        <w:rPr>
          <w:b/>
          <w:sz w:val="22"/>
          <w:szCs w:val="22"/>
        </w:rPr>
      </w:pPr>
    </w:p>
    <w:p w14:paraId="474F0554" w14:textId="77777777" w:rsidR="00333158" w:rsidRDefault="00333158" w:rsidP="00F50EA3">
      <w:pPr>
        <w:rPr>
          <w:b/>
          <w:sz w:val="22"/>
          <w:szCs w:val="22"/>
        </w:rPr>
      </w:pPr>
    </w:p>
    <w:p w14:paraId="3D8C47CD" w14:textId="77777777" w:rsidR="009224E4" w:rsidRDefault="009224E4" w:rsidP="00F50EA3">
      <w:pPr>
        <w:jc w:val="both"/>
        <w:rPr>
          <w:b/>
          <w:sz w:val="28"/>
          <w:szCs w:val="28"/>
        </w:rPr>
      </w:pPr>
    </w:p>
    <w:p w14:paraId="49AB469C" w14:textId="77777777" w:rsidR="00F50EA3" w:rsidRDefault="00F50EA3" w:rsidP="00F50EA3">
      <w:pPr>
        <w:jc w:val="both"/>
        <w:rPr>
          <w:b/>
          <w:sz w:val="28"/>
          <w:szCs w:val="28"/>
        </w:rPr>
      </w:pPr>
      <w:r w:rsidRPr="00AC2002">
        <w:rPr>
          <w:b/>
          <w:sz w:val="28"/>
          <w:szCs w:val="28"/>
        </w:rPr>
        <w:lastRenderedPageBreak/>
        <w:t>Section 1.</w:t>
      </w:r>
      <w:r>
        <w:rPr>
          <w:b/>
          <w:sz w:val="28"/>
          <w:szCs w:val="28"/>
        </w:rPr>
        <w:t>3</w:t>
      </w:r>
      <w:r w:rsidRPr="00AC2002">
        <w:rPr>
          <w:b/>
          <w:sz w:val="28"/>
          <w:szCs w:val="28"/>
        </w:rPr>
        <w:t xml:space="preserve">: </w:t>
      </w:r>
      <w:r>
        <w:rPr>
          <w:b/>
          <w:sz w:val="28"/>
          <w:szCs w:val="28"/>
        </w:rPr>
        <w:t>Insignificant Activities List</w:t>
      </w:r>
    </w:p>
    <w:p w14:paraId="4AC09EEB" w14:textId="77777777" w:rsidR="00F50EA3" w:rsidRDefault="00F50EA3" w:rsidP="00F50EA3">
      <w:pPr>
        <w:rPr>
          <w:sz w:val="16"/>
          <w:szCs w:val="16"/>
        </w:rPr>
      </w:pPr>
    </w:p>
    <w:p w14:paraId="5A9D8BD0" w14:textId="7B1A6777" w:rsidR="00F50EA3" w:rsidRPr="00214176" w:rsidRDefault="00873694" w:rsidP="00F50EA3">
      <w:pPr>
        <w:pStyle w:val="Header"/>
        <w:tabs>
          <w:tab w:val="clear" w:pos="4320"/>
          <w:tab w:val="clear" w:pos="8640"/>
        </w:tabs>
        <w:rPr>
          <w:sz w:val="16"/>
          <w:szCs w:val="16"/>
        </w:rPr>
      </w:pPr>
      <w:r>
        <w:rPr>
          <w:b/>
          <w:noProof/>
        </w:rPr>
        <mc:AlternateContent>
          <mc:Choice Requires="wps">
            <w:drawing>
              <wp:anchor distT="0" distB="0" distL="114300" distR="114300" simplePos="0" relativeHeight="251665408" behindDoc="1" locked="0" layoutInCell="1" allowOverlap="1" wp14:anchorId="74E49F1B" wp14:editId="5921A742">
                <wp:simplePos x="0" y="0"/>
                <wp:positionH relativeFrom="column">
                  <wp:posOffset>-83185</wp:posOffset>
                </wp:positionH>
                <wp:positionV relativeFrom="paragraph">
                  <wp:posOffset>34290</wp:posOffset>
                </wp:positionV>
                <wp:extent cx="6629400" cy="685800"/>
                <wp:effectExtent l="12065" t="7620" r="6985"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D1BD" id="Rectangle 7" o:spid="_x0000_s1026" style="position:absolute;margin-left:-6.55pt;margin-top:2.7pt;width:522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" fillcolor="silver">
                <v:fill r:id="rId10" o:title="" type="pattern"/>
              </v:rect>
            </w:pict>
          </mc:Fallback>
        </mc:AlternateContent>
      </w:r>
      <w:r>
        <w:rPr>
          <w:noProof/>
        </w:rPr>
        <mc:AlternateContent>
          <mc:Choice Requires="wps">
            <w:drawing>
              <wp:anchor distT="0" distB="0" distL="114300" distR="114300" simplePos="0" relativeHeight="251664384" behindDoc="1" locked="0" layoutInCell="1" allowOverlap="1" wp14:anchorId="01B8B9BC" wp14:editId="3EFADBF3">
                <wp:simplePos x="0" y="0"/>
                <wp:positionH relativeFrom="column">
                  <wp:posOffset>-71120</wp:posOffset>
                </wp:positionH>
                <wp:positionV relativeFrom="paragraph">
                  <wp:posOffset>8868410</wp:posOffset>
                </wp:positionV>
                <wp:extent cx="6629400" cy="640080"/>
                <wp:effectExtent l="5080" t="12065" r="13970"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4008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8D0D" id="Rectangle 6" o:spid="_x0000_s1026" style="position:absolute;margin-left:-5.6pt;margin-top:698.3pt;width:522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" fillcolor="silver">
                <v:fill r:id="rId10" o:title="" type="pattern"/>
              </v:rect>
            </w:pict>
          </mc:Fallback>
        </mc:AlternateContent>
      </w:r>
    </w:p>
    <w:p w14:paraId="6909A0B9" w14:textId="77777777" w:rsidR="00F50EA3" w:rsidRPr="00BC6DEF" w:rsidRDefault="00F50EA3" w:rsidP="00F50EA3">
      <w:pPr>
        <w:pStyle w:val="Header"/>
        <w:tabs>
          <w:tab w:val="clear" w:pos="4320"/>
          <w:tab w:val="clear" w:pos="8640"/>
          <w:tab w:val="left" w:pos="6840"/>
        </w:tabs>
        <w:rPr>
          <w:b/>
          <w:bCs/>
        </w:rPr>
      </w:pPr>
      <w:r w:rsidRPr="003D7A78">
        <w:rPr>
          <w:b/>
          <w:noProof/>
        </w:rPr>
        <w:t>SOURCE</w:t>
      </w:r>
      <w:r w:rsidRPr="003D7A78">
        <w:rPr>
          <w:b/>
          <w:bCs/>
        </w:rPr>
        <w:t xml:space="preserve"> </w:t>
      </w:r>
      <w:r w:rsidRPr="00BC6DEF">
        <w:rPr>
          <w:b/>
          <w:bCs/>
        </w:rPr>
        <w:t>NAME:</w:t>
      </w:r>
      <w:r>
        <w:rPr>
          <w:b/>
          <w:bCs/>
        </w:rPr>
        <w:t xml:space="preserve">  </w:t>
      </w:r>
      <w:r w:rsidR="00C256B2" w:rsidRPr="00C74E4D">
        <w:rPr>
          <w:b/>
          <w:bCs/>
        </w:rPr>
        <w:fldChar w:fldCharType="begin">
          <w:ffData>
            <w:name w:val="FacName"/>
            <w:enabled/>
            <w:calcOnExit w:val="0"/>
            <w:textInput/>
          </w:ffData>
        </w:fldChar>
      </w:r>
      <w:r w:rsidRPr="00C74E4D">
        <w:rPr>
          <w:b/>
          <w:bCs/>
        </w:rPr>
        <w:instrText xml:space="preserve"> FORMTEXT </w:instrText>
      </w:r>
      <w:r w:rsidR="00C256B2" w:rsidRPr="00C74E4D">
        <w:rPr>
          <w:b/>
          <w:bCs/>
        </w:rPr>
      </w:r>
      <w:r w:rsidR="00C256B2" w:rsidRPr="00C74E4D">
        <w:rPr>
          <w:b/>
          <w:bCs/>
        </w:rPr>
        <w:fldChar w:fldCharType="separate"/>
      </w:r>
      <w:r w:rsidRPr="00C74E4D">
        <w:rPr>
          <w:b/>
          <w:bCs/>
          <w:noProof/>
        </w:rPr>
        <w:t> </w:t>
      </w:r>
      <w:r w:rsidRPr="00C74E4D">
        <w:rPr>
          <w:b/>
          <w:bCs/>
          <w:noProof/>
        </w:rPr>
        <w:t> </w:t>
      </w:r>
      <w:r w:rsidRPr="00C74E4D">
        <w:rPr>
          <w:b/>
          <w:bCs/>
          <w:noProof/>
        </w:rPr>
        <w:t> </w:t>
      </w:r>
      <w:r w:rsidRPr="00C74E4D">
        <w:rPr>
          <w:b/>
          <w:bCs/>
          <w:noProof/>
        </w:rPr>
        <w:t> </w:t>
      </w:r>
      <w:r w:rsidRPr="00C74E4D">
        <w:rPr>
          <w:b/>
          <w:bCs/>
          <w:noProof/>
        </w:rPr>
        <w:t> </w:t>
      </w:r>
      <w:r w:rsidR="00C256B2" w:rsidRPr="00C74E4D">
        <w:rPr>
          <w:b/>
          <w:bCs/>
        </w:rPr>
        <w:fldChar w:fldCharType="end"/>
      </w:r>
      <w:r w:rsidRPr="00BC6DEF">
        <w:rPr>
          <w:b/>
          <w:bCs/>
        </w:rPr>
        <w:tab/>
        <w:t>DATE:</w:t>
      </w:r>
      <w:r>
        <w:rPr>
          <w:b/>
          <w:bCs/>
        </w:rPr>
        <w:t xml:space="preserve">  </w:t>
      </w:r>
      <w:r w:rsidR="00C256B2" w:rsidRPr="00C74E4D">
        <w:rPr>
          <w:b/>
          <w:bCs/>
        </w:rPr>
        <w:fldChar w:fldCharType="begin">
          <w:ffData>
            <w:name w:val="Text4"/>
            <w:enabled/>
            <w:calcOnExit w:val="0"/>
            <w:textInput/>
          </w:ffData>
        </w:fldChar>
      </w:r>
      <w:r w:rsidRPr="00C74E4D">
        <w:rPr>
          <w:b/>
          <w:bCs/>
        </w:rPr>
        <w:instrText xml:space="preserve"> FORMTEXT </w:instrText>
      </w:r>
      <w:r w:rsidR="00C256B2" w:rsidRPr="00C74E4D">
        <w:rPr>
          <w:b/>
          <w:bCs/>
        </w:rPr>
      </w:r>
      <w:r w:rsidR="00C256B2" w:rsidRPr="00C74E4D">
        <w:rPr>
          <w:b/>
          <w:bCs/>
        </w:rPr>
        <w:fldChar w:fldCharType="separate"/>
      </w:r>
      <w:r w:rsidRPr="00C74E4D">
        <w:rPr>
          <w:b/>
          <w:bCs/>
          <w:noProof/>
        </w:rPr>
        <w:t> </w:t>
      </w:r>
      <w:r w:rsidRPr="00C74E4D">
        <w:rPr>
          <w:b/>
          <w:bCs/>
          <w:noProof/>
        </w:rPr>
        <w:t> </w:t>
      </w:r>
      <w:r w:rsidRPr="00C74E4D">
        <w:rPr>
          <w:b/>
          <w:bCs/>
          <w:noProof/>
        </w:rPr>
        <w:t> </w:t>
      </w:r>
      <w:r w:rsidRPr="00C74E4D">
        <w:rPr>
          <w:b/>
          <w:bCs/>
          <w:noProof/>
        </w:rPr>
        <w:t> </w:t>
      </w:r>
      <w:r w:rsidRPr="00C74E4D">
        <w:rPr>
          <w:b/>
          <w:bCs/>
          <w:noProof/>
        </w:rPr>
        <w:t> </w:t>
      </w:r>
      <w:r w:rsidR="00C256B2" w:rsidRPr="00C74E4D">
        <w:rPr>
          <w:b/>
          <w:bCs/>
        </w:rPr>
        <w:fldChar w:fldCharType="end"/>
      </w:r>
    </w:p>
    <w:p w14:paraId="3167C435" w14:textId="566077B0" w:rsidR="00F50EA3" w:rsidRPr="00BC6DEF" w:rsidRDefault="00873694" w:rsidP="00F50EA3">
      <w:pPr>
        <w:rPr>
          <w:b/>
          <w:bCs/>
        </w:rPr>
      </w:pPr>
      <w:r>
        <w:rPr>
          <w:b/>
          <w:bCs/>
          <w:noProof/>
        </w:rPr>
        <mc:AlternateContent>
          <mc:Choice Requires="wps">
            <w:drawing>
              <wp:anchor distT="0" distB="0" distL="114300" distR="114300" simplePos="0" relativeHeight="251666432" behindDoc="0" locked="0" layoutInCell="1" allowOverlap="1" wp14:anchorId="26BA1C91" wp14:editId="5A06EA89">
                <wp:simplePos x="0" y="0"/>
                <wp:positionH relativeFrom="column">
                  <wp:posOffset>1265555</wp:posOffset>
                </wp:positionH>
                <wp:positionV relativeFrom="paragraph">
                  <wp:posOffset>29845</wp:posOffset>
                </wp:positionV>
                <wp:extent cx="2455545" cy="635"/>
                <wp:effectExtent l="8255" t="9525" r="12700"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1FC75" id="_x0000_t32" coordsize="21600,21600" o:spt="32" o:oned="t" path="m,l21600,21600e" filled="f">
                <v:path arrowok="t" fillok="f" o:connecttype="none"/>
                <o:lock v:ext="edit" shapetype="t"/>
              </v:shapetype>
              <v:shape id="AutoShape 8" o:spid="_x0000_s1026" type="#_x0000_t32" style="position:absolute;margin-left:99.65pt;margin-top:2.35pt;width:193.3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"/>
            </w:pict>
          </mc:Fallback>
        </mc:AlternateContent>
      </w:r>
      <w:r>
        <w:rPr>
          <w:b/>
          <w:bCs/>
          <w:noProof/>
        </w:rPr>
        <mc:AlternateContent>
          <mc:Choice Requires="wps">
            <w:drawing>
              <wp:anchor distT="0" distB="0" distL="114300" distR="114300" simplePos="0" relativeHeight="251668480" behindDoc="0" locked="0" layoutInCell="1" allowOverlap="1" wp14:anchorId="4CE6B427" wp14:editId="58FE85F5">
                <wp:simplePos x="0" y="0"/>
                <wp:positionH relativeFrom="column">
                  <wp:posOffset>4897120</wp:posOffset>
                </wp:positionH>
                <wp:positionV relativeFrom="paragraph">
                  <wp:posOffset>33020</wp:posOffset>
                </wp:positionV>
                <wp:extent cx="868680" cy="0"/>
                <wp:effectExtent l="10795" t="12700" r="6350"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86547" id="AutoShape 10" o:spid="_x0000_s1026" type="#_x0000_t32" style="position:absolute;margin-left:385.6pt;margin-top:2.6pt;width:6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"/>
            </w:pict>
          </mc:Fallback>
        </mc:AlternateContent>
      </w:r>
    </w:p>
    <w:p w14:paraId="74DEE76A" w14:textId="7AB4114E" w:rsidR="00F50EA3" w:rsidRPr="00BC6DEF" w:rsidRDefault="008D1DCC" w:rsidP="00F50EA3">
      <w:pPr>
        <w:rPr>
          <w:b/>
          <w:bCs/>
        </w:rPr>
      </w:pPr>
      <w:r>
        <w:rPr>
          <w:b/>
          <w:bCs/>
        </w:rPr>
        <w:t xml:space="preserve">NDEE </w:t>
      </w:r>
      <w:r w:rsidR="00F50EA3">
        <w:rPr>
          <w:b/>
          <w:bCs/>
        </w:rPr>
        <w:t>FACILITY</w:t>
      </w:r>
      <w:r w:rsidR="00F50EA3" w:rsidRPr="00BC6DEF">
        <w:rPr>
          <w:b/>
          <w:bCs/>
        </w:rPr>
        <w:t xml:space="preserve"> ID#:</w:t>
      </w:r>
      <w:r w:rsidR="00F50EA3">
        <w:rPr>
          <w:b/>
          <w:bCs/>
        </w:rPr>
        <w:t xml:space="preserve">  </w:t>
      </w:r>
      <w:r w:rsidR="00C256B2" w:rsidRPr="00C74E4D">
        <w:rPr>
          <w:b/>
          <w:bCs/>
        </w:rPr>
        <w:fldChar w:fldCharType="begin">
          <w:ffData>
            <w:name w:val="Text3"/>
            <w:enabled/>
            <w:calcOnExit w:val="0"/>
            <w:textInput/>
          </w:ffData>
        </w:fldChar>
      </w:r>
      <w:r w:rsidR="00F50EA3" w:rsidRPr="00C74E4D">
        <w:rPr>
          <w:b/>
          <w:bCs/>
        </w:rPr>
        <w:instrText xml:space="preserve"> FORMTEXT </w:instrText>
      </w:r>
      <w:r w:rsidR="00C256B2" w:rsidRPr="00C74E4D">
        <w:rPr>
          <w:b/>
          <w:bCs/>
        </w:rPr>
      </w:r>
      <w:r w:rsidR="00C256B2" w:rsidRPr="00C74E4D">
        <w:rPr>
          <w:b/>
          <w:bCs/>
        </w:rPr>
        <w:fldChar w:fldCharType="separate"/>
      </w:r>
      <w:r w:rsidR="00F50EA3" w:rsidRPr="00C74E4D">
        <w:rPr>
          <w:b/>
          <w:bCs/>
          <w:noProof/>
        </w:rPr>
        <w:t> </w:t>
      </w:r>
      <w:r w:rsidR="00F50EA3" w:rsidRPr="00C74E4D">
        <w:rPr>
          <w:b/>
          <w:bCs/>
          <w:noProof/>
        </w:rPr>
        <w:t> </w:t>
      </w:r>
      <w:r w:rsidR="00F50EA3" w:rsidRPr="00C74E4D">
        <w:rPr>
          <w:b/>
          <w:bCs/>
          <w:noProof/>
        </w:rPr>
        <w:t> </w:t>
      </w:r>
      <w:r w:rsidR="00F50EA3" w:rsidRPr="00C74E4D">
        <w:rPr>
          <w:b/>
          <w:bCs/>
          <w:noProof/>
        </w:rPr>
        <w:t> </w:t>
      </w:r>
      <w:r w:rsidR="00F50EA3" w:rsidRPr="00C74E4D">
        <w:rPr>
          <w:b/>
          <w:bCs/>
          <w:noProof/>
        </w:rPr>
        <w:t> </w:t>
      </w:r>
      <w:r w:rsidR="00C256B2" w:rsidRPr="00C74E4D">
        <w:rPr>
          <w:b/>
          <w:bCs/>
        </w:rPr>
        <w:fldChar w:fldCharType="end"/>
      </w:r>
    </w:p>
    <w:p w14:paraId="2660B642" w14:textId="2DD2AF9B" w:rsidR="00F50EA3" w:rsidRPr="007F1BB9" w:rsidRDefault="00873694" w:rsidP="00F50EA3">
      <w:pPr>
        <w:rPr>
          <w:b/>
          <w:bCs/>
        </w:rPr>
      </w:pPr>
      <w:r>
        <w:rPr>
          <w:b/>
          <w:bCs/>
          <w:noProof/>
        </w:rPr>
        <mc:AlternateContent>
          <mc:Choice Requires="wps">
            <w:drawing>
              <wp:anchor distT="0" distB="0" distL="114300" distR="114300" simplePos="0" relativeHeight="251667456" behindDoc="0" locked="0" layoutInCell="1" allowOverlap="1" wp14:anchorId="499A25F7" wp14:editId="47A20626">
                <wp:simplePos x="0" y="0"/>
                <wp:positionH relativeFrom="column">
                  <wp:posOffset>1623695</wp:posOffset>
                </wp:positionH>
                <wp:positionV relativeFrom="paragraph">
                  <wp:posOffset>34290</wp:posOffset>
                </wp:positionV>
                <wp:extent cx="2119630" cy="6350"/>
                <wp:effectExtent l="13970" t="12065"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CBF5" id="AutoShape 9" o:spid="_x0000_s1026" type="#_x0000_t32" style="position:absolute;margin-left:127.85pt;margin-top:2.7pt;width:166.9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"/>
            </w:pict>
          </mc:Fallback>
        </mc:AlternateContent>
      </w:r>
    </w:p>
    <w:p w14:paraId="673CD96A" w14:textId="77777777" w:rsidR="00F50EA3" w:rsidRDefault="00F50EA3" w:rsidP="00F50EA3">
      <w:pPr>
        <w:jc w:val="center"/>
        <w:rPr>
          <w:b/>
          <w:bCs/>
          <w:sz w:val="22"/>
          <w:szCs w:val="22"/>
        </w:rPr>
      </w:pPr>
      <w:r>
        <w:rPr>
          <w:b/>
          <w:bCs/>
          <w:sz w:val="22"/>
          <w:szCs w:val="22"/>
        </w:rPr>
        <w:t>Table 2:  Storage of Lubricating and Heavy Oils Summary</w:t>
      </w:r>
    </w:p>
    <w:p w14:paraId="246DB6BD" w14:textId="77777777" w:rsidR="00F50EA3" w:rsidRDefault="00F50EA3" w:rsidP="00F50EA3">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334"/>
        <w:gridCol w:w="2835"/>
        <w:gridCol w:w="1959"/>
        <w:gridCol w:w="2038"/>
      </w:tblGrid>
      <w:tr w:rsidR="00F50EA3" w:rsidRPr="00474DAA" w14:paraId="079480E8" w14:textId="77777777" w:rsidTr="00EE6700">
        <w:tc>
          <w:tcPr>
            <w:tcW w:w="1278" w:type="dxa"/>
            <w:vAlign w:val="center"/>
          </w:tcPr>
          <w:p w14:paraId="20083479" w14:textId="77777777" w:rsidR="00F50EA3" w:rsidRPr="00474DAA" w:rsidRDefault="00F50EA3" w:rsidP="00EE6700">
            <w:pPr>
              <w:jc w:val="center"/>
              <w:rPr>
                <w:b/>
                <w:bCs/>
                <w:sz w:val="22"/>
                <w:szCs w:val="22"/>
              </w:rPr>
            </w:pPr>
            <w:r w:rsidRPr="00474DAA">
              <w:rPr>
                <w:b/>
                <w:bCs/>
                <w:sz w:val="22"/>
                <w:szCs w:val="22"/>
              </w:rPr>
              <w:t>Storage ID</w:t>
            </w:r>
          </w:p>
        </w:tc>
        <w:tc>
          <w:tcPr>
            <w:tcW w:w="1350" w:type="dxa"/>
            <w:vAlign w:val="center"/>
          </w:tcPr>
          <w:p w14:paraId="75D1C831" w14:textId="77777777" w:rsidR="00F50EA3" w:rsidRPr="00474DAA" w:rsidRDefault="00F50EA3" w:rsidP="00EE6700">
            <w:pPr>
              <w:jc w:val="center"/>
              <w:rPr>
                <w:b/>
                <w:bCs/>
                <w:sz w:val="22"/>
                <w:szCs w:val="22"/>
              </w:rPr>
            </w:pPr>
            <w:r w:rsidRPr="00474DAA">
              <w:rPr>
                <w:b/>
                <w:bCs/>
                <w:sz w:val="22"/>
                <w:szCs w:val="22"/>
              </w:rPr>
              <w:t>Installation Date</w:t>
            </w:r>
          </w:p>
        </w:tc>
        <w:tc>
          <w:tcPr>
            <w:tcW w:w="3510" w:type="dxa"/>
            <w:vAlign w:val="center"/>
          </w:tcPr>
          <w:p w14:paraId="0BF9EF86" w14:textId="77777777" w:rsidR="00F50EA3" w:rsidRPr="00474DAA" w:rsidRDefault="00F50EA3" w:rsidP="00EE6700">
            <w:pPr>
              <w:jc w:val="center"/>
              <w:rPr>
                <w:b/>
                <w:bCs/>
                <w:sz w:val="22"/>
                <w:szCs w:val="22"/>
              </w:rPr>
            </w:pPr>
            <w:r w:rsidRPr="00474DAA">
              <w:rPr>
                <w:b/>
                <w:bCs/>
                <w:sz w:val="22"/>
                <w:szCs w:val="22"/>
              </w:rPr>
              <w:t>Tank Contents</w:t>
            </w:r>
          </w:p>
        </w:tc>
        <w:tc>
          <w:tcPr>
            <w:tcW w:w="2250" w:type="dxa"/>
            <w:vAlign w:val="center"/>
          </w:tcPr>
          <w:p w14:paraId="0E669491" w14:textId="77777777" w:rsidR="00F50EA3" w:rsidRPr="00474DAA" w:rsidRDefault="00F50EA3" w:rsidP="00EE6700">
            <w:pPr>
              <w:jc w:val="center"/>
              <w:rPr>
                <w:b/>
                <w:bCs/>
                <w:sz w:val="22"/>
                <w:szCs w:val="22"/>
              </w:rPr>
            </w:pPr>
            <w:r w:rsidRPr="00474DAA">
              <w:rPr>
                <w:b/>
                <w:bCs/>
                <w:sz w:val="22"/>
                <w:szCs w:val="22"/>
              </w:rPr>
              <w:t>Maximum Capacity (gallons)</w:t>
            </w:r>
          </w:p>
        </w:tc>
        <w:tc>
          <w:tcPr>
            <w:tcW w:w="2340" w:type="dxa"/>
            <w:vAlign w:val="center"/>
          </w:tcPr>
          <w:p w14:paraId="105E2A96" w14:textId="77777777" w:rsidR="00F50EA3" w:rsidRPr="00474DAA" w:rsidRDefault="00F50EA3" w:rsidP="00EE6700">
            <w:pPr>
              <w:jc w:val="center"/>
              <w:rPr>
                <w:b/>
                <w:bCs/>
                <w:sz w:val="22"/>
                <w:szCs w:val="22"/>
              </w:rPr>
            </w:pPr>
            <w:r w:rsidRPr="00474DAA">
              <w:rPr>
                <w:b/>
                <w:bCs/>
                <w:sz w:val="22"/>
                <w:szCs w:val="22"/>
              </w:rPr>
              <w:t>Vapor Pressure at Standard Conditions (psi)</w:t>
            </w:r>
          </w:p>
        </w:tc>
      </w:tr>
      <w:tr w:rsidR="00F50EA3" w:rsidRPr="00474DAA" w14:paraId="78751A5E" w14:textId="77777777" w:rsidTr="00EE6700">
        <w:tc>
          <w:tcPr>
            <w:tcW w:w="1278" w:type="dxa"/>
          </w:tcPr>
          <w:p w14:paraId="6721F189"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1C3C09E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4653F945"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1E8EA19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60D8CE7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4F9A79CB" w14:textId="77777777" w:rsidTr="00EE6700">
        <w:tc>
          <w:tcPr>
            <w:tcW w:w="1278" w:type="dxa"/>
          </w:tcPr>
          <w:p w14:paraId="3F818D5F"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68194DD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2DCC83F5"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19EF06B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01E1D44F"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BAC56A6" w14:textId="77777777" w:rsidTr="00EE6700">
        <w:tc>
          <w:tcPr>
            <w:tcW w:w="1278" w:type="dxa"/>
          </w:tcPr>
          <w:p w14:paraId="743F493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3AE7FBF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70B96B9F"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1462A48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274DB88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6B3ABFF" w14:textId="77777777" w:rsidTr="00EE6700">
        <w:tc>
          <w:tcPr>
            <w:tcW w:w="1278" w:type="dxa"/>
          </w:tcPr>
          <w:p w14:paraId="4D850F1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04A00D9E"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0B372557"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5DA0444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68678705"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0EECFFB9" w14:textId="77777777" w:rsidTr="00EE6700">
        <w:tc>
          <w:tcPr>
            <w:tcW w:w="1278" w:type="dxa"/>
          </w:tcPr>
          <w:p w14:paraId="15DA4608"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71BD661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0A0166C2"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72CFC62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27F2211C"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2CCD4663" w14:textId="77777777" w:rsidTr="00EE6700">
        <w:tc>
          <w:tcPr>
            <w:tcW w:w="1278" w:type="dxa"/>
          </w:tcPr>
          <w:p w14:paraId="351B19CD"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6BB98CC9"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485AE784"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62708D6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12ED186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1B8B3ED9" w14:textId="77777777" w:rsidTr="00EE6700">
        <w:tc>
          <w:tcPr>
            <w:tcW w:w="1278" w:type="dxa"/>
          </w:tcPr>
          <w:p w14:paraId="5A12153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02C3A86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271F7831"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7D52B94E"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699BDD7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4F07642F" w14:textId="77777777" w:rsidTr="00EE6700">
        <w:tc>
          <w:tcPr>
            <w:tcW w:w="1278" w:type="dxa"/>
          </w:tcPr>
          <w:p w14:paraId="47F6DBE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645F1B49"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2FA6AEB7"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28896B3D"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3AE3C4F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12C7A17" w14:textId="77777777" w:rsidTr="00EE6700">
        <w:tc>
          <w:tcPr>
            <w:tcW w:w="1278" w:type="dxa"/>
          </w:tcPr>
          <w:p w14:paraId="699B4AF8"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0597FB8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3298AE40"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2661A90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0B9EABA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076AA47A" w14:textId="77777777" w:rsidTr="00EE6700">
        <w:tc>
          <w:tcPr>
            <w:tcW w:w="1278" w:type="dxa"/>
          </w:tcPr>
          <w:p w14:paraId="02549C5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02FDD913"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5F7D54DE"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662DA481"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000CD59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33AE29BE" w14:textId="77777777" w:rsidTr="00EE6700">
        <w:tc>
          <w:tcPr>
            <w:tcW w:w="1278" w:type="dxa"/>
          </w:tcPr>
          <w:p w14:paraId="21348CA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7804A9DE"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65F5910C"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18CA6CAD"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28B7F13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309852C3" w14:textId="77777777" w:rsidTr="00EE6700">
        <w:tc>
          <w:tcPr>
            <w:tcW w:w="1278" w:type="dxa"/>
          </w:tcPr>
          <w:p w14:paraId="3B84388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5A79C9C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0D3F4B6A"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503CCCBE"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4787677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51C0A17C" w14:textId="77777777" w:rsidTr="00EE6700">
        <w:tc>
          <w:tcPr>
            <w:tcW w:w="1278" w:type="dxa"/>
          </w:tcPr>
          <w:p w14:paraId="5EABCE3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001309D9"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756D7297"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02D203DF"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4DEB2A3F"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EB00D78" w14:textId="77777777" w:rsidTr="00EE6700">
        <w:tc>
          <w:tcPr>
            <w:tcW w:w="1278" w:type="dxa"/>
          </w:tcPr>
          <w:p w14:paraId="65FFE06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245168ED"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62330FD5"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5BF3400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1DEB8091"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35F7CA90" w14:textId="77777777" w:rsidTr="00EE6700">
        <w:tc>
          <w:tcPr>
            <w:tcW w:w="1278" w:type="dxa"/>
          </w:tcPr>
          <w:p w14:paraId="7301A9C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21DB3AC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726B4F31"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19C9F5A7"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73E1BC0A"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1FD633D0" w14:textId="77777777" w:rsidTr="00EE6700">
        <w:tc>
          <w:tcPr>
            <w:tcW w:w="1278" w:type="dxa"/>
          </w:tcPr>
          <w:p w14:paraId="7E22C4C2"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16E34D8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2920E744"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6E54E548"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49ECE33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0A9BBF13" w14:textId="77777777" w:rsidTr="00EE6700">
        <w:tc>
          <w:tcPr>
            <w:tcW w:w="1278" w:type="dxa"/>
          </w:tcPr>
          <w:p w14:paraId="778E832F"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314B8D0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3A6CF445"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00E3C88C"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3D914F4B"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r w:rsidR="00F50EA3" w:rsidRPr="00474DAA" w14:paraId="66DD4A5F" w14:textId="77777777" w:rsidTr="00EE6700">
        <w:tc>
          <w:tcPr>
            <w:tcW w:w="1278" w:type="dxa"/>
          </w:tcPr>
          <w:p w14:paraId="13FDFE2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1350" w:type="dxa"/>
          </w:tcPr>
          <w:p w14:paraId="120B747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3510" w:type="dxa"/>
          </w:tcPr>
          <w:p w14:paraId="5C7E997E" w14:textId="77777777" w:rsidR="00F50EA3" w:rsidRDefault="00C256B2" w:rsidP="00EE6700">
            <w:pPr>
              <w:spacing w:before="40" w:after="40"/>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250" w:type="dxa"/>
          </w:tcPr>
          <w:p w14:paraId="7FD36870"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c>
          <w:tcPr>
            <w:tcW w:w="2340" w:type="dxa"/>
          </w:tcPr>
          <w:p w14:paraId="6C5A7F94" w14:textId="77777777" w:rsidR="00F50EA3" w:rsidRDefault="00C256B2" w:rsidP="00EE6700">
            <w:pPr>
              <w:spacing w:before="40" w:after="40"/>
              <w:jc w:val="center"/>
            </w:pPr>
            <w:r w:rsidRPr="00474DAA">
              <w:rPr>
                <w:sz w:val="22"/>
              </w:rPr>
              <w:fldChar w:fldCharType="begin">
                <w:ffData>
                  <w:name w:val="Text5"/>
                  <w:enabled/>
                  <w:calcOnExit w:val="0"/>
                  <w:textInput/>
                </w:ffData>
              </w:fldChar>
            </w:r>
            <w:r w:rsidR="00F50EA3" w:rsidRPr="00474DAA">
              <w:rPr>
                <w:sz w:val="22"/>
              </w:rPr>
              <w:instrText xml:space="preserve"> FORMTEXT </w:instrText>
            </w:r>
            <w:r w:rsidRPr="00474DAA">
              <w:rPr>
                <w:sz w:val="22"/>
              </w:rPr>
            </w:r>
            <w:r w:rsidRPr="00474DAA">
              <w:rPr>
                <w:sz w:val="22"/>
              </w:rPr>
              <w:fldChar w:fldCharType="separate"/>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00F50EA3" w:rsidRPr="00474DAA">
              <w:rPr>
                <w:noProof/>
                <w:sz w:val="22"/>
              </w:rPr>
              <w:t> </w:t>
            </w:r>
            <w:r w:rsidRPr="00474DAA">
              <w:rPr>
                <w:sz w:val="22"/>
              </w:rPr>
              <w:fldChar w:fldCharType="end"/>
            </w:r>
          </w:p>
        </w:tc>
      </w:tr>
    </w:tbl>
    <w:p w14:paraId="527B1738" w14:textId="77777777" w:rsidR="00F50EA3" w:rsidRDefault="00F50EA3" w:rsidP="00F50EA3">
      <w:pPr>
        <w:rPr>
          <w:b/>
          <w:bCs/>
          <w:sz w:val="22"/>
          <w:szCs w:val="22"/>
        </w:rPr>
      </w:pPr>
    </w:p>
    <w:p w14:paraId="5736B115" w14:textId="77777777" w:rsidR="00F50EA3" w:rsidRPr="00E21A87" w:rsidRDefault="00F50EA3" w:rsidP="00F50EA3">
      <w:r w:rsidRPr="003E7449">
        <w:rPr>
          <w:b/>
          <w:sz w:val="22"/>
          <w:szCs w:val="22"/>
        </w:rPr>
        <w:t xml:space="preserve">Note: </w:t>
      </w:r>
      <w:r>
        <w:rPr>
          <w:b/>
          <w:sz w:val="22"/>
          <w:szCs w:val="22"/>
        </w:rPr>
        <w:t>A</w:t>
      </w:r>
      <w:r w:rsidRPr="003E7449">
        <w:rPr>
          <w:b/>
          <w:sz w:val="22"/>
          <w:szCs w:val="22"/>
        </w:rPr>
        <w:t>ttach additional copies of th</w:t>
      </w:r>
      <w:r>
        <w:rPr>
          <w:b/>
          <w:sz w:val="22"/>
          <w:szCs w:val="22"/>
        </w:rPr>
        <w:t>is</w:t>
      </w:r>
      <w:r w:rsidRPr="003E7449">
        <w:rPr>
          <w:b/>
          <w:sz w:val="22"/>
          <w:szCs w:val="22"/>
        </w:rPr>
        <w:t xml:space="preserve"> table </w:t>
      </w:r>
      <w:r>
        <w:rPr>
          <w:b/>
          <w:sz w:val="22"/>
          <w:szCs w:val="22"/>
        </w:rPr>
        <w:t>as necessary.</w:t>
      </w:r>
    </w:p>
    <w:p w14:paraId="6834687D" w14:textId="77777777" w:rsidR="00F50EA3" w:rsidRPr="00293634" w:rsidRDefault="00F50EA3" w:rsidP="00F50EA3">
      <w:pPr>
        <w:rPr>
          <w:b/>
          <w:bCs/>
          <w:sz w:val="22"/>
          <w:szCs w:val="22"/>
        </w:rPr>
      </w:pPr>
    </w:p>
    <w:p w14:paraId="3D9978E6" w14:textId="77777777" w:rsidR="006F02AC" w:rsidRPr="00B04624" w:rsidRDefault="006F02AC" w:rsidP="005379B8">
      <w:pPr>
        <w:pStyle w:val="Header"/>
        <w:tabs>
          <w:tab w:val="clear" w:pos="4320"/>
          <w:tab w:val="clear" w:pos="8640"/>
        </w:tabs>
        <w:spacing w:after="120"/>
        <w:rPr>
          <w:sz w:val="22"/>
          <w:szCs w:val="22"/>
        </w:rPr>
      </w:pPr>
    </w:p>
    <w:sectPr w:rsidR="006F02AC" w:rsidRPr="00B04624" w:rsidSect="004574A4">
      <w:headerReference w:type="default" r:id="rId11"/>
      <w:footerReference w:type="default" r:id="rId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D67D" w14:textId="77777777" w:rsidR="006D3B47" w:rsidRDefault="006D3B47">
      <w:r>
        <w:separator/>
      </w:r>
    </w:p>
  </w:endnote>
  <w:endnote w:type="continuationSeparator" w:id="0">
    <w:p w14:paraId="1CA92A6B" w14:textId="77777777" w:rsidR="006D3B47" w:rsidRDefault="006D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9912" w14:textId="675DD2F0" w:rsidR="00C920E3" w:rsidRPr="00D06C0B" w:rsidRDefault="00C920E3" w:rsidP="009224E4">
    <w:pPr>
      <w:pStyle w:val="Footer"/>
      <w:tabs>
        <w:tab w:val="clear" w:pos="8640"/>
        <w:tab w:val="right" w:pos="9360"/>
      </w:tabs>
      <w:ind w:left="-240"/>
      <w:jc w:val="both"/>
      <w:rPr>
        <w:sz w:val="20"/>
        <w:szCs w:val="20"/>
      </w:rPr>
    </w:pPr>
    <w:r w:rsidRPr="00D06C0B">
      <w:rPr>
        <w:sz w:val="20"/>
        <w:szCs w:val="20"/>
      </w:rPr>
      <w:t xml:space="preserve">Rev </w:t>
    </w:r>
    <w:r w:rsidR="008D1DCC">
      <w:rPr>
        <w:sz w:val="20"/>
        <w:szCs w:val="20"/>
      </w:rPr>
      <w:t>07</w:t>
    </w:r>
    <w:r w:rsidR="00A8669C">
      <w:rPr>
        <w:sz w:val="20"/>
        <w:szCs w:val="20"/>
      </w:rPr>
      <w:t>/</w:t>
    </w:r>
    <w:r w:rsidR="008D1DCC">
      <w:rPr>
        <w:sz w:val="20"/>
        <w:szCs w:val="20"/>
      </w:rPr>
      <w:t>22</w:t>
    </w:r>
    <w:r w:rsidRPr="00D06C0B">
      <w:rPr>
        <w:sz w:val="20"/>
        <w:szCs w:val="20"/>
      </w:rPr>
      <w:tab/>
      <w:t xml:space="preserve">Page </w:t>
    </w:r>
    <w:r w:rsidR="00C256B2" w:rsidRPr="00D06C0B">
      <w:rPr>
        <w:rStyle w:val="PageNumber"/>
        <w:sz w:val="20"/>
        <w:szCs w:val="20"/>
      </w:rPr>
      <w:fldChar w:fldCharType="begin"/>
    </w:r>
    <w:r w:rsidRPr="00D06C0B">
      <w:rPr>
        <w:rStyle w:val="PageNumber"/>
        <w:sz w:val="20"/>
        <w:szCs w:val="20"/>
      </w:rPr>
      <w:instrText xml:space="preserve"> PAGE </w:instrText>
    </w:r>
    <w:r w:rsidR="00C256B2" w:rsidRPr="00D06C0B">
      <w:rPr>
        <w:rStyle w:val="PageNumber"/>
        <w:sz w:val="20"/>
        <w:szCs w:val="20"/>
      </w:rPr>
      <w:fldChar w:fldCharType="separate"/>
    </w:r>
    <w:r w:rsidR="005D31A7">
      <w:rPr>
        <w:rStyle w:val="PageNumber"/>
        <w:noProof/>
        <w:sz w:val="20"/>
        <w:szCs w:val="20"/>
      </w:rPr>
      <w:t>5</w:t>
    </w:r>
    <w:r w:rsidR="00C256B2" w:rsidRPr="00D06C0B">
      <w:rPr>
        <w:rStyle w:val="PageNumber"/>
        <w:sz w:val="20"/>
        <w:szCs w:val="20"/>
      </w:rPr>
      <w:fldChar w:fldCharType="end"/>
    </w:r>
    <w:r w:rsidRPr="00D06C0B">
      <w:rPr>
        <w:rStyle w:val="PageNumber"/>
        <w:sz w:val="20"/>
        <w:szCs w:val="20"/>
      </w:rPr>
      <w:t xml:space="preserve"> of </w:t>
    </w:r>
    <w:r w:rsidR="00C256B2" w:rsidRPr="00D06C0B">
      <w:rPr>
        <w:rStyle w:val="PageNumber"/>
        <w:sz w:val="20"/>
        <w:szCs w:val="20"/>
      </w:rPr>
      <w:fldChar w:fldCharType="begin"/>
    </w:r>
    <w:r w:rsidRPr="00D06C0B">
      <w:rPr>
        <w:rStyle w:val="PageNumber"/>
        <w:sz w:val="20"/>
        <w:szCs w:val="20"/>
      </w:rPr>
      <w:instrText xml:space="preserve"> NUMPAGES </w:instrText>
    </w:r>
    <w:r w:rsidR="00C256B2" w:rsidRPr="00D06C0B">
      <w:rPr>
        <w:rStyle w:val="PageNumber"/>
        <w:sz w:val="20"/>
        <w:szCs w:val="20"/>
      </w:rPr>
      <w:fldChar w:fldCharType="separate"/>
    </w:r>
    <w:r w:rsidR="005D31A7">
      <w:rPr>
        <w:rStyle w:val="PageNumber"/>
        <w:noProof/>
        <w:sz w:val="20"/>
        <w:szCs w:val="20"/>
      </w:rPr>
      <w:t>7</w:t>
    </w:r>
    <w:r w:rsidR="00C256B2" w:rsidRPr="00D06C0B">
      <w:rPr>
        <w:rStyle w:val="PageNumber"/>
        <w:sz w:val="20"/>
        <w:szCs w:val="20"/>
      </w:rPr>
      <w:fldChar w:fldCharType="end"/>
    </w:r>
    <w:r w:rsidRPr="00D06C0B">
      <w:rPr>
        <w:rStyle w:val="PageNumber"/>
        <w:sz w:val="20"/>
        <w:szCs w:val="20"/>
      </w:rPr>
      <w:t xml:space="preserve"> </w:t>
    </w:r>
    <w:r w:rsidRPr="00D06C0B">
      <w:rPr>
        <w:rStyle w:val="PageNumber"/>
        <w:sz w:val="20"/>
        <w:szCs w:val="20"/>
      </w:rPr>
      <w:tab/>
    </w:r>
    <w:r w:rsidRPr="00D06C0B">
      <w:rPr>
        <w:sz w:val="20"/>
        <w:szCs w:val="20"/>
      </w:rPr>
      <w:t>08-201-</w:t>
    </w:r>
    <w:r>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E06" w14:textId="77777777" w:rsidR="006D3B47" w:rsidRDefault="006D3B47">
      <w:r>
        <w:separator/>
      </w:r>
    </w:p>
  </w:footnote>
  <w:footnote w:type="continuationSeparator" w:id="0">
    <w:p w14:paraId="3F9E6DBC" w14:textId="77777777" w:rsidR="006D3B47" w:rsidRDefault="006D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44C9" w14:textId="6EE07166" w:rsidR="00C920E3" w:rsidRDefault="00A47B88" w:rsidP="00B9657B">
    <w:pPr>
      <w:pStyle w:val="Header"/>
      <w:tabs>
        <w:tab w:val="clear" w:pos="4320"/>
        <w:tab w:val="left" w:pos="2700"/>
        <w:tab w:val="left" w:pos="3060"/>
        <w:tab w:val="center" w:pos="6480"/>
      </w:tabs>
      <w:ind w:left="2520" w:right="-840"/>
      <w:rPr>
        <w:b/>
        <w:sz w:val="32"/>
      </w:rPr>
    </w:pPr>
    <w:r w:rsidRPr="001B62FB">
      <w:rPr>
        <w:rFonts w:ascii="Arial" w:hAnsi="Arial" w:cs="Arial"/>
        <w:noProof/>
      </w:rPr>
      <w:drawing>
        <wp:anchor distT="0" distB="0" distL="114300" distR="114300" simplePos="0" relativeHeight="251659264" behindDoc="1" locked="0" layoutInCell="1" allowOverlap="1" wp14:anchorId="336B5AD4" wp14:editId="795D789B">
          <wp:simplePos x="0" y="0"/>
          <wp:positionH relativeFrom="column">
            <wp:posOffset>-9525</wp:posOffset>
          </wp:positionH>
          <wp:positionV relativeFrom="paragraph">
            <wp:posOffset>47625</wp:posOffset>
          </wp:positionV>
          <wp:extent cx="1533525" cy="371475"/>
          <wp:effectExtent l="0" t="0" r="0" b="0"/>
          <wp:wrapTight wrapText="bothSides">
            <wp:wrapPolygon edited="0">
              <wp:start x="0" y="0"/>
              <wp:lineTo x="0" y="21046"/>
              <wp:lineTo x="21466" y="21046"/>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anchor>
      </w:drawing>
    </w:r>
    <w:r w:rsidR="00C920E3">
      <w:rPr>
        <w:b/>
        <w:sz w:val="32"/>
      </w:rPr>
      <w:t xml:space="preserve">Air Quality Operating Permit Application </w:t>
    </w:r>
  </w:p>
  <w:p w14:paraId="5AE9AFDB" w14:textId="77777777" w:rsidR="00C920E3" w:rsidRDefault="00C920E3" w:rsidP="00B9657B">
    <w:pPr>
      <w:pStyle w:val="Header"/>
      <w:tabs>
        <w:tab w:val="left" w:pos="2700"/>
      </w:tabs>
      <w:ind w:left="2520"/>
      <w:rPr>
        <w:b/>
        <w:sz w:val="32"/>
      </w:rPr>
    </w:pPr>
    <w:r>
      <w:rPr>
        <w:b/>
        <w:sz w:val="32"/>
      </w:rPr>
      <w:t>Form 1.0: General Information</w:t>
    </w:r>
  </w:p>
  <w:p w14:paraId="520C406B" w14:textId="77777777" w:rsidR="00C920E3" w:rsidRPr="00AC2002" w:rsidRDefault="00C920E3" w:rsidP="003E37EA">
    <w:pPr>
      <w:pStyle w:val="Header"/>
      <w:tabs>
        <w:tab w:val="clear" w:pos="4320"/>
        <w:tab w:val="clear" w:pos="8640"/>
      </w:tabs>
      <w:ind w:left="-240"/>
      <w:rPr>
        <w:b/>
        <w:bCs/>
        <w:sz w:val="12"/>
        <w:szCs w:val="12"/>
        <w:u w:val="single"/>
      </w:rPr>
    </w:pPr>
  </w:p>
  <w:p w14:paraId="3B103D3C" w14:textId="56AF63F9" w:rsidR="00C920E3" w:rsidRPr="003E37EA" w:rsidRDefault="00C920E3" w:rsidP="003E37EA">
    <w:pPr>
      <w:ind w:left="-240"/>
      <w:rPr>
        <w:color w:val="FFFFFF"/>
        <w:kern w:val="2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AFF"/>
    <w:multiLevelType w:val="hybridMultilevel"/>
    <w:tmpl w:val="F68E5C62"/>
    <w:lvl w:ilvl="0" w:tplc="A028B39A">
      <w:start w:val="52"/>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 w15:restartNumberingAfterBreak="0">
    <w:nsid w:val="105A1190"/>
    <w:multiLevelType w:val="hybridMultilevel"/>
    <w:tmpl w:val="D8E67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47AFC"/>
    <w:multiLevelType w:val="hybridMultilevel"/>
    <w:tmpl w:val="AD6EF5D2"/>
    <w:lvl w:ilvl="0" w:tplc="04090011">
      <w:start w:val="1"/>
      <w:numFmt w:val="decimal"/>
      <w:lvlText w:val="%1)"/>
      <w:lvlJc w:val="left"/>
      <w:pPr>
        <w:tabs>
          <w:tab w:val="num" w:pos="475"/>
        </w:tabs>
        <w:ind w:left="475" w:hanging="360"/>
      </w:p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15:restartNumberingAfterBreak="0">
    <w:nsid w:val="14A003CE"/>
    <w:multiLevelType w:val="hybridMultilevel"/>
    <w:tmpl w:val="7B828B98"/>
    <w:lvl w:ilvl="0" w:tplc="F4608D70">
      <w:start w:val="46"/>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15:restartNumberingAfterBreak="0">
    <w:nsid w:val="18E06C43"/>
    <w:multiLevelType w:val="hybridMultilevel"/>
    <w:tmpl w:val="5C964E50"/>
    <w:lvl w:ilvl="0" w:tplc="DAD85188">
      <w:start w:val="1"/>
      <w:numFmt w:val="decimal"/>
      <w:lvlText w:val="%1)"/>
      <w:lvlJc w:val="left"/>
      <w:pPr>
        <w:tabs>
          <w:tab w:val="num" w:pos="115"/>
        </w:tabs>
        <w:ind w:left="115" w:hanging="360"/>
      </w:pPr>
      <w:rPr>
        <w:rFonts w:hint="default"/>
      </w:rPr>
    </w:lvl>
    <w:lvl w:ilvl="1" w:tplc="04090019" w:tentative="1">
      <w:start w:val="1"/>
      <w:numFmt w:val="lowerLetter"/>
      <w:lvlText w:val="%2."/>
      <w:lvlJc w:val="left"/>
      <w:pPr>
        <w:tabs>
          <w:tab w:val="num" w:pos="835"/>
        </w:tabs>
        <w:ind w:left="835" w:hanging="360"/>
      </w:pPr>
    </w:lvl>
    <w:lvl w:ilvl="2" w:tplc="0409001B" w:tentative="1">
      <w:start w:val="1"/>
      <w:numFmt w:val="lowerRoman"/>
      <w:lvlText w:val="%3."/>
      <w:lvlJc w:val="right"/>
      <w:pPr>
        <w:tabs>
          <w:tab w:val="num" w:pos="1555"/>
        </w:tabs>
        <w:ind w:left="1555" w:hanging="180"/>
      </w:pPr>
    </w:lvl>
    <w:lvl w:ilvl="3" w:tplc="0409000F" w:tentative="1">
      <w:start w:val="1"/>
      <w:numFmt w:val="decimal"/>
      <w:lvlText w:val="%4."/>
      <w:lvlJc w:val="left"/>
      <w:pPr>
        <w:tabs>
          <w:tab w:val="num" w:pos="2275"/>
        </w:tabs>
        <w:ind w:left="2275" w:hanging="360"/>
      </w:pPr>
    </w:lvl>
    <w:lvl w:ilvl="4" w:tplc="04090019" w:tentative="1">
      <w:start w:val="1"/>
      <w:numFmt w:val="lowerLetter"/>
      <w:lvlText w:val="%5."/>
      <w:lvlJc w:val="left"/>
      <w:pPr>
        <w:tabs>
          <w:tab w:val="num" w:pos="2995"/>
        </w:tabs>
        <w:ind w:left="2995" w:hanging="360"/>
      </w:pPr>
    </w:lvl>
    <w:lvl w:ilvl="5" w:tplc="0409001B" w:tentative="1">
      <w:start w:val="1"/>
      <w:numFmt w:val="lowerRoman"/>
      <w:lvlText w:val="%6."/>
      <w:lvlJc w:val="right"/>
      <w:pPr>
        <w:tabs>
          <w:tab w:val="num" w:pos="3715"/>
        </w:tabs>
        <w:ind w:left="3715" w:hanging="180"/>
      </w:pPr>
    </w:lvl>
    <w:lvl w:ilvl="6" w:tplc="0409000F" w:tentative="1">
      <w:start w:val="1"/>
      <w:numFmt w:val="decimal"/>
      <w:lvlText w:val="%7."/>
      <w:lvlJc w:val="left"/>
      <w:pPr>
        <w:tabs>
          <w:tab w:val="num" w:pos="4435"/>
        </w:tabs>
        <w:ind w:left="4435" w:hanging="360"/>
      </w:pPr>
    </w:lvl>
    <w:lvl w:ilvl="7" w:tplc="04090019" w:tentative="1">
      <w:start w:val="1"/>
      <w:numFmt w:val="lowerLetter"/>
      <w:lvlText w:val="%8."/>
      <w:lvlJc w:val="left"/>
      <w:pPr>
        <w:tabs>
          <w:tab w:val="num" w:pos="5155"/>
        </w:tabs>
        <w:ind w:left="5155" w:hanging="360"/>
      </w:pPr>
    </w:lvl>
    <w:lvl w:ilvl="8" w:tplc="0409001B" w:tentative="1">
      <w:start w:val="1"/>
      <w:numFmt w:val="lowerRoman"/>
      <w:lvlText w:val="%9."/>
      <w:lvlJc w:val="right"/>
      <w:pPr>
        <w:tabs>
          <w:tab w:val="num" w:pos="5875"/>
        </w:tabs>
        <w:ind w:left="5875" w:hanging="180"/>
      </w:pPr>
    </w:lvl>
  </w:abstractNum>
  <w:abstractNum w:abstractNumId="5" w15:restartNumberingAfterBreak="0">
    <w:nsid w:val="1B6B2130"/>
    <w:multiLevelType w:val="hybridMultilevel"/>
    <w:tmpl w:val="DBCCC376"/>
    <w:lvl w:ilvl="0" w:tplc="0BA413CA">
      <w:start w:val="5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92150"/>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7" w15:restartNumberingAfterBreak="0">
    <w:nsid w:val="1EDB5F90"/>
    <w:multiLevelType w:val="multilevel"/>
    <w:tmpl w:val="B0D69E5E"/>
    <w:lvl w:ilvl="0">
      <w:start w:val="1"/>
      <w:numFmt w:val="lowerRoman"/>
      <w:lvlText w:val="%1)"/>
      <w:lvlJc w:val="right"/>
      <w:pPr>
        <w:tabs>
          <w:tab w:val="num" w:pos="2844"/>
        </w:tabs>
        <w:ind w:left="2844"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3C6DF7"/>
    <w:multiLevelType w:val="multilevel"/>
    <w:tmpl w:val="B1EE7A6A"/>
    <w:lvl w:ilvl="0">
      <w:start w:val="1"/>
      <w:numFmt w:val="bullet"/>
      <w:lvlText w:val=""/>
      <w:lvlJc w:val="left"/>
      <w:pPr>
        <w:tabs>
          <w:tab w:val="num" w:pos="120"/>
        </w:tabs>
        <w:ind w:left="120" w:hanging="360"/>
      </w:pPr>
      <w:rPr>
        <w:rFonts w:ascii="Symbol" w:hAnsi="Symbol" w:hint="default"/>
        <w:u w:val="none"/>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9" w15:restartNumberingAfterBreak="0">
    <w:nsid w:val="1FE36FE8"/>
    <w:multiLevelType w:val="hybridMultilevel"/>
    <w:tmpl w:val="C9648C3A"/>
    <w:lvl w:ilvl="0" w:tplc="192E5BB0">
      <w:start w:val="4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21B420BE"/>
    <w:multiLevelType w:val="hybridMultilevel"/>
    <w:tmpl w:val="FB9C2EC4"/>
    <w:lvl w:ilvl="0" w:tplc="212CF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214C1E"/>
    <w:multiLevelType w:val="hybridMultilevel"/>
    <w:tmpl w:val="4ABC762E"/>
    <w:lvl w:ilvl="0" w:tplc="29E4572A">
      <w:start w:val="53"/>
      <w:numFmt w:val="decimal"/>
      <w:lvlText w:val="%1)"/>
      <w:lvlJc w:val="left"/>
      <w:pPr>
        <w:tabs>
          <w:tab w:val="num" w:pos="240"/>
        </w:tabs>
        <w:ind w:left="240" w:hanging="480"/>
      </w:pPr>
      <w:rPr>
        <w:rFonts w:hint="default"/>
        <w:sz w:val="24"/>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2" w15:restartNumberingAfterBreak="0">
    <w:nsid w:val="2FA20D9C"/>
    <w:multiLevelType w:val="hybridMultilevel"/>
    <w:tmpl w:val="BA12FA8E"/>
    <w:lvl w:ilvl="0" w:tplc="1AA80E0C">
      <w:start w:val="1"/>
      <w:numFmt w:val="lowerRoman"/>
      <w:lvlText w:val="%1)"/>
      <w:lvlJc w:val="right"/>
      <w:pPr>
        <w:tabs>
          <w:tab w:val="num" w:pos="2844"/>
        </w:tabs>
        <w:ind w:left="2844" w:hanging="180"/>
      </w:pPr>
      <w:rPr>
        <w:rFonts w:hint="default"/>
      </w:rPr>
    </w:lvl>
    <w:lvl w:ilvl="1" w:tplc="04090019" w:tentative="1">
      <w:start w:val="1"/>
      <w:numFmt w:val="lowerLetter"/>
      <w:lvlText w:val="%2."/>
      <w:lvlJc w:val="left"/>
      <w:pPr>
        <w:tabs>
          <w:tab w:val="num" w:pos="1440"/>
        </w:tabs>
        <w:ind w:left="1440" w:hanging="360"/>
      </w:pPr>
    </w:lvl>
    <w:lvl w:ilvl="2" w:tplc="1AA80E0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71D99"/>
    <w:multiLevelType w:val="hybridMultilevel"/>
    <w:tmpl w:val="6BD085C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39647C"/>
    <w:multiLevelType w:val="hybridMultilevel"/>
    <w:tmpl w:val="D4787F8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C1358E"/>
    <w:multiLevelType w:val="multilevel"/>
    <w:tmpl w:val="DCA68732"/>
    <w:lvl w:ilvl="0">
      <w:start w:val="1"/>
      <w:numFmt w:val="bullet"/>
      <w:lvlText w:val="o"/>
      <w:lvlJc w:val="left"/>
      <w:pPr>
        <w:tabs>
          <w:tab w:val="num" w:pos="120"/>
        </w:tabs>
        <w:ind w:left="120" w:hanging="360"/>
      </w:pPr>
      <w:rPr>
        <w:rFonts w:ascii="Courier New" w:hAnsi="Courier New" w:cs="Courier New" w:hint="default"/>
        <w:u w:val="none"/>
      </w:rPr>
    </w:lvl>
    <w:lvl w:ilvl="1">
      <w:start w:val="1"/>
      <w:numFmt w:val="decimal"/>
      <w:lvlText w:val="%2)"/>
      <w:lvlJc w:val="left"/>
      <w:pPr>
        <w:tabs>
          <w:tab w:val="num" w:pos="840"/>
        </w:tabs>
        <w:ind w:left="840" w:hanging="360"/>
      </w:pPr>
      <w:rPr>
        <w:rFonts w:hint="default"/>
        <w:u w:val="none"/>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16" w15:restartNumberingAfterBreak="0">
    <w:nsid w:val="421F6843"/>
    <w:multiLevelType w:val="hybridMultilevel"/>
    <w:tmpl w:val="08CCE4AA"/>
    <w:lvl w:ilvl="0" w:tplc="04090011">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0B190A"/>
    <w:multiLevelType w:val="hybridMultilevel"/>
    <w:tmpl w:val="51F226AC"/>
    <w:lvl w:ilvl="0" w:tplc="EB0A6DC0">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626AE4"/>
    <w:multiLevelType w:val="hybridMultilevel"/>
    <w:tmpl w:val="E1D8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30380"/>
    <w:multiLevelType w:val="hybridMultilevel"/>
    <w:tmpl w:val="F064C1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CF81370"/>
    <w:multiLevelType w:val="hybridMultilevel"/>
    <w:tmpl w:val="FA0083BC"/>
    <w:lvl w:ilvl="0" w:tplc="A028B39A">
      <w:start w:val="4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1" w15:restartNumberingAfterBreak="0">
    <w:nsid w:val="4EB957FF"/>
    <w:multiLevelType w:val="multilevel"/>
    <w:tmpl w:val="313EA0DC"/>
    <w:lvl w:ilvl="0">
      <w:start w:val="48"/>
      <w:numFmt w:val="decimal"/>
      <w:lvlText w:val="%1)"/>
      <w:lvlJc w:val="left"/>
      <w:pPr>
        <w:tabs>
          <w:tab w:val="num" w:pos="120"/>
        </w:tabs>
        <w:ind w:left="120" w:hanging="360"/>
      </w:pPr>
      <w:rPr>
        <w:rFonts w:hint="default"/>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22" w15:restartNumberingAfterBreak="0">
    <w:nsid w:val="5272304A"/>
    <w:multiLevelType w:val="hybridMultilevel"/>
    <w:tmpl w:val="4DCCD8AE"/>
    <w:lvl w:ilvl="0" w:tplc="427267F8">
      <w:start w:val="40"/>
      <w:numFmt w:val="lowerLetter"/>
      <w:lvlText w:val="%1)"/>
      <w:lvlJc w:val="left"/>
      <w:pPr>
        <w:tabs>
          <w:tab w:val="num" w:pos="1080"/>
        </w:tabs>
        <w:ind w:left="1080" w:hanging="360"/>
      </w:pPr>
      <w:rPr>
        <w:rFonts w:hint="default"/>
      </w:rPr>
    </w:lvl>
    <w:lvl w:ilvl="1" w:tplc="2CFE7FC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A20F7E"/>
    <w:multiLevelType w:val="hybridMultilevel"/>
    <w:tmpl w:val="6B0E7524"/>
    <w:lvl w:ilvl="0" w:tplc="F7529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BA4BB1"/>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5" w15:restartNumberingAfterBreak="0">
    <w:nsid w:val="5886598C"/>
    <w:multiLevelType w:val="hybridMultilevel"/>
    <w:tmpl w:val="DE8C5968"/>
    <w:lvl w:ilvl="0" w:tplc="B11AA9E8">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6" w15:restartNumberingAfterBreak="0">
    <w:nsid w:val="59794982"/>
    <w:multiLevelType w:val="hybridMultilevel"/>
    <w:tmpl w:val="313EA0DC"/>
    <w:lvl w:ilvl="0" w:tplc="884AE860">
      <w:start w:val="48"/>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7" w15:restartNumberingAfterBreak="0">
    <w:nsid w:val="5C266F6F"/>
    <w:multiLevelType w:val="hybridMultilevel"/>
    <w:tmpl w:val="08CCE4AA"/>
    <w:lvl w:ilvl="0" w:tplc="04090011">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807EE1"/>
    <w:multiLevelType w:val="hybridMultilevel"/>
    <w:tmpl w:val="B1EE7A6A"/>
    <w:lvl w:ilvl="0" w:tplc="04090001">
      <w:start w:val="1"/>
      <w:numFmt w:val="bullet"/>
      <w:lvlText w:val=""/>
      <w:lvlJc w:val="left"/>
      <w:pPr>
        <w:tabs>
          <w:tab w:val="num" w:pos="120"/>
        </w:tabs>
        <w:ind w:left="120" w:hanging="360"/>
      </w:pPr>
      <w:rPr>
        <w:rFonts w:ascii="Symbol" w:hAnsi="Symbol" w:hint="default"/>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9" w15:restartNumberingAfterBreak="0">
    <w:nsid w:val="621E5762"/>
    <w:multiLevelType w:val="hybridMultilevel"/>
    <w:tmpl w:val="6576CC46"/>
    <w:lvl w:ilvl="0" w:tplc="1D884EF2">
      <w:start w:val="1"/>
      <w:numFmt w:val="decimal"/>
      <w:lvlText w:val="%1)"/>
      <w:lvlJc w:val="left"/>
      <w:pPr>
        <w:tabs>
          <w:tab w:val="num" w:pos="120"/>
        </w:tabs>
        <w:ind w:left="120" w:hanging="360"/>
      </w:pPr>
      <w:rPr>
        <w:rFonts w:hint="default"/>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0" w15:restartNumberingAfterBreak="0">
    <w:nsid w:val="62842A60"/>
    <w:multiLevelType w:val="multilevel"/>
    <w:tmpl w:val="FD3ECA1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744E5B"/>
    <w:multiLevelType w:val="hybridMultilevel"/>
    <w:tmpl w:val="CD420422"/>
    <w:lvl w:ilvl="0" w:tplc="4B3E1804">
      <w:start w:val="34"/>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5A2FBD"/>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33" w15:restartNumberingAfterBreak="0">
    <w:nsid w:val="6FAC6CEB"/>
    <w:multiLevelType w:val="hybridMultilevel"/>
    <w:tmpl w:val="46D4C448"/>
    <w:lvl w:ilvl="0" w:tplc="C2664504">
      <w:start w:val="47"/>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4" w15:restartNumberingAfterBreak="0">
    <w:nsid w:val="7133140C"/>
    <w:multiLevelType w:val="hybridMultilevel"/>
    <w:tmpl w:val="DCA68732"/>
    <w:lvl w:ilvl="0" w:tplc="04090003">
      <w:start w:val="1"/>
      <w:numFmt w:val="bullet"/>
      <w:lvlText w:val="o"/>
      <w:lvlJc w:val="left"/>
      <w:pPr>
        <w:tabs>
          <w:tab w:val="num" w:pos="120"/>
        </w:tabs>
        <w:ind w:left="120" w:hanging="360"/>
      </w:pPr>
      <w:rPr>
        <w:rFonts w:ascii="Courier New" w:hAnsi="Courier New" w:cs="Courier New" w:hint="default"/>
        <w:u w:val="none"/>
      </w:rPr>
    </w:lvl>
    <w:lvl w:ilvl="1" w:tplc="04090011">
      <w:start w:val="1"/>
      <w:numFmt w:val="decimal"/>
      <w:lvlText w:val="%2)"/>
      <w:lvlJc w:val="left"/>
      <w:pPr>
        <w:tabs>
          <w:tab w:val="num" w:pos="360"/>
        </w:tabs>
        <w:ind w:left="360" w:hanging="360"/>
      </w:pPr>
      <w:rPr>
        <w:rFonts w:hint="default"/>
        <w:u w:val="none"/>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5" w15:restartNumberingAfterBreak="0">
    <w:nsid w:val="719E7A94"/>
    <w:multiLevelType w:val="multilevel"/>
    <w:tmpl w:val="6576CC46"/>
    <w:lvl w:ilvl="0">
      <w:start w:val="1"/>
      <w:numFmt w:val="decimal"/>
      <w:lvlText w:val="%1)"/>
      <w:lvlJc w:val="left"/>
      <w:pPr>
        <w:tabs>
          <w:tab w:val="num" w:pos="120"/>
        </w:tabs>
        <w:ind w:left="120" w:hanging="360"/>
      </w:pPr>
      <w:rPr>
        <w:rFonts w:hint="default"/>
        <w:u w:val="none"/>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36" w15:restartNumberingAfterBreak="0">
    <w:nsid w:val="731C5B6B"/>
    <w:multiLevelType w:val="hybridMultilevel"/>
    <w:tmpl w:val="B38C7A04"/>
    <w:lvl w:ilvl="0" w:tplc="9D460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B33C7F"/>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38" w15:restartNumberingAfterBreak="0">
    <w:nsid w:val="7A611E1F"/>
    <w:multiLevelType w:val="multilevel"/>
    <w:tmpl w:val="18B425B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AE91AE8"/>
    <w:multiLevelType w:val="hybridMultilevel"/>
    <w:tmpl w:val="E856ECFC"/>
    <w:lvl w:ilvl="0" w:tplc="04090011">
      <w:start w:val="1"/>
      <w:numFmt w:val="decimal"/>
      <w:lvlText w:val="%1)"/>
      <w:lvlJc w:val="left"/>
      <w:pPr>
        <w:tabs>
          <w:tab w:val="num" w:pos="1080"/>
        </w:tabs>
        <w:ind w:left="1080" w:hanging="360"/>
      </w:pPr>
      <w:rPr>
        <w:rFonts w:hint="default"/>
      </w:rPr>
    </w:lvl>
    <w:lvl w:ilvl="1" w:tplc="2CFE7FC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9268A1"/>
    <w:multiLevelType w:val="hybridMultilevel"/>
    <w:tmpl w:val="6180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677DA"/>
    <w:multiLevelType w:val="hybridMultilevel"/>
    <w:tmpl w:val="EFE85878"/>
    <w:lvl w:ilvl="0" w:tplc="E5860666">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23"/>
  </w:num>
  <w:num w:numId="2">
    <w:abstractNumId w:val="10"/>
  </w:num>
  <w:num w:numId="3">
    <w:abstractNumId w:val="36"/>
  </w:num>
  <w:num w:numId="4">
    <w:abstractNumId w:val="6"/>
  </w:num>
  <w:num w:numId="5">
    <w:abstractNumId w:val="30"/>
  </w:num>
  <w:num w:numId="6">
    <w:abstractNumId w:val="13"/>
  </w:num>
  <w:num w:numId="7">
    <w:abstractNumId w:val="31"/>
  </w:num>
  <w:num w:numId="8">
    <w:abstractNumId w:val="19"/>
  </w:num>
  <w:num w:numId="9">
    <w:abstractNumId w:val="25"/>
  </w:num>
  <w:num w:numId="10">
    <w:abstractNumId w:val="9"/>
  </w:num>
  <w:num w:numId="11">
    <w:abstractNumId w:val="41"/>
  </w:num>
  <w:num w:numId="12">
    <w:abstractNumId w:val="33"/>
  </w:num>
  <w:num w:numId="13">
    <w:abstractNumId w:val="20"/>
  </w:num>
  <w:num w:numId="14">
    <w:abstractNumId w:val="0"/>
  </w:num>
  <w:num w:numId="15">
    <w:abstractNumId w:val="3"/>
  </w:num>
  <w:num w:numId="16">
    <w:abstractNumId w:val="26"/>
  </w:num>
  <w:num w:numId="17">
    <w:abstractNumId w:val="11"/>
  </w:num>
  <w:num w:numId="18">
    <w:abstractNumId w:val="21"/>
  </w:num>
  <w:num w:numId="19">
    <w:abstractNumId w:val="5"/>
  </w:num>
  <w:num w:numId="20">
    <w:abstractNumId w:val="32"/>
  </w:num>
  <w:num w:numId="21">
    <w:abstractNumId w:val="24"/>
  </w:num>
  <w:num w:numId="22">
    <w:abstractNumId w:val="37"/>
  </w:num>
  <w:num w:numId="23">
    <w:abstractNumId w:val="12"/>
  </w:num>
  <w:num w:numId="24">
    <w:abstractNumId w:val="7"/>
  </w:num>
  <w:num w:numId="25">
    <w:abstractNumId w:val="16"/>
  </w:num>
  <w:num w:numId="26">
    <w:abstractNumId w:val="17"/>
  </w:num>
  <w:num w:numId="27">
    <w:abstractNumId w:val="2"/>
  </w:num>
  <w:num w:numId="28">
    <w:abstractNumId w:val="4"/>
  </w:num>
  <w:num w:numId="29">
    <w:abstractNumId w:val="38"/>
  </w:num>
  <w:num w:numId="30">
    <w:abstractNumId w:val="22"/>
  </w:num>
  <w:num w:numId="31">
    <w:abstractNumId w:val="29"/>
  </w:num>
  <w:num w:numId="32">
    <w:abstractNumId w:val="35"/>
  </w:num>
  <w:num w:numId="33">
    <w:abstractNumId w:val="28"/>
  </w:num>
  <w:num w:numId="34">
    <w:abstractNumId w:val="8"/>
  </w:num>
  <w:num w:numId="35">
    <w:abstractNumId w:val="34"/>
  </w:num>
  <w:num w:numId="36">
    <w:abstractNumId w:val="15"/>
  </w:num>
  <w:num w:numId="37">
    <w:abstractNumId w:val="18"/>
  </w:num>
  <w:num w:numId="38">
    <w:abstractNumId w:val="40"/>
  </w:num>
  <w:num w:numId="39">
    <w:abstractNumId w:val="1"/>
  </w:num>
  <w:num w:numId="40">
    <w:abstractNumId w:val="39"/>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FD"/>
    <w:rsid w:val="00010F07"/>
    <w:rsid w:val="000428A8"/>
    <w:rsid w:val="00050DCF"/>
    <w:rsid w:val="00055EA0"/>
    <w:rsid w:val="000616F2"/>
    <w:rsid w:val="00072438"/>
    <w:rsid w:val="000B2348"/>
    <w:rsid w:val="000C22D5"/>
    <w:rsid w:val="000D590F"/>
    <w:rsid w:val="000E3785"/>
    <w:rsid w:val="00104AF5"/>
    <w:rsid w:val="001208A9"/>
    <w:rsid w:val="001234DC"/>
    <w:rsid w:val="00123FFF"/>
    <w:rsid w:val="00131545"/>
    <w:rsid w:val="001348AE"/>
    <w:rsid w:val="001375A4"/>
    <w:rsid w:val="00152188"/>
    <w:rsid w:val="00157E37"/>
    <w:rsid w:val="001957F7"/>
    <w:rsid w:val="001C2AEE"/>
    <w:rsid w:val="001D34AF"/>
    <w:rsid w:val="00200769"/>
    <w:rsid w:val="00223649"/>
    <w:rsid w:val="00247ABE"/>
    <w:rsid w:val="002658DA"/>
    <w:rsid w:val="00282049"/>
    <w:rsid w:val="002853F5"/>
    <w:rsid w:val="002869ED"/>
    <w:rsid w:val="002A6141"/>
    <w:rsid w:val="00311A84"/>
    <w:rsid w:val="00314E3A"/>
    <w:rsid w:val="00315FC7"/>
    <w:rsid w:val="00316682"/>
    <w:rsid w:val="00321CD3"/>
    <w:rsid w:val="00326527"/>
    <w:rsid w:val="003277D2"/>
    <w:rsid w:val="00333158"/>
    <w:rsid w:val="00350407"/>
    <w:rsid w:val="00351963"/>
    <w:rsid w:val="003564B6"/>
    <w:rsid w:val="00363BBB"/>
    <w:rsid w:val="003839A9"/>
    <w:rsid w:val="003853DE"/>
    <w:rsid w:val="003A0E7E"/>
    <w:rsid w:val="003B577E"/>
    <w:rsid w:val="003B6C0C"/>
    <w:rsid w:val="003D154F"/>
    <w:rsid w:val="003D38AA"/>
    <w:rsid w:val="003D3ED0"/>
    <w:rsid w:val="003D4873"/>
    <w:rsid w:val="003E37EA"/>
    <w:rsid w:val="003F6AF6"/>
    <w:rsid w:val="00414659"/>
    <w:rsid w:val="004173C2"/>
    <w:rsid w:val="004214FE"/>
    <w:rsid w:val="00424F77"/>
    <w:rsid w:val="00425A02"/>
    <w:rsid w:val="00445326"/>
    <w:rsid w:val="004574A4"/>
    <w:rsid w:val="00462B95"/>
    <w:rsid w:val="00467CA1"/>
    <w:rsid w:val="0049541E"/>
    <w:rsid w:val="00495561"/>
    <w:rsid w:val="0049613B"/>
    <w:rsid w:val="0049745A"/>
    <w:rsid w:val="00497526"/>
    <w:rsid w:val="004A75D1"/>
    <w:rsid w:val="004B6FFE"/>
    <w:rsid w:val="004C1710"/>
    <w:rsid w:val="004D1FF2"/>
    <w:rsid w:val="004E2001"/>
    <w:rsid w:val="004F547E"/>
    <w:rsid w:val="00517208"/>
    <w:rsid w:val="005374DA"/>
    <w:rsid w:val="005379B8"/>
    <w:rsid w:val="00551F16"/>
    <w:rsid w:val="00555A4E"/>
    <w:rsid w:val="00555E45"/>
    <w:rsid w:val="005940A8"/>
    <w:rsid w:val="00596518"/>
    <w:rsid w:val="005A32D0"/>
    <w:rsid w:val="005B221D"/>
    <w:rsid w:val="005B2F9F"/>
    <w:rsid w:val="005C663E"/>
    <w:rsid w:val="005D31A7"/>
    <w:rsid w:val="005D3688"/>
    <w:rsid w:val="005D4D36"/>
    <w:rsid w:val="005E0100"/>
    <w:rsid w:val="005E5E8B"/>
    <w:rsid w:val="0060242D"/>
    <w:rsid w:val="00603099"/>
    <w:rsid w:val="00612CCC"/>
    <w:rsid w:val="00616B35"/>
    <w:rsid w:val="00616CBB"/>
    <w:rsid w:val="006211A9"/>
    <w:rsid w:val="00644FA0"/>
    <w:rsid w:val="00656FE9"/>
    <w:rsid w:val="006613F2"/>
    <w:rsid w:val="00663301"/>
    <w:rsid w:val="00682200"/>
    <w:rsid w:val="0068292E"/>
    <w:rsid w:val="00683BDD"/>
    <w:rsid w:val="0068556A"/>
    <w:rsid w:val="006A0666"/>
    <w:rsid w:val="006A486C"/>
    <w:rsid w:val="006C05A3"/>
    <w:rsid w:val="006D3B47"/>
    <w:rsid w:val="006D4957"/>
    <w:rsid w:val="006E30C0"/>
    <w:rsid w:val="006F02AC"/>
    <w:rsid w:val="006F06AC"/>
    <w:rsid w:val="00700501"/>
    <w:rsid w:val="00700F09"/>
    <w:rsid w:val="00716C55"/>
    <w:rsid w:val="00717ECF"/>
    <w:rsid w:val="0075172E"/>
    <w:rsid w:val="007648B5"/>
    <w:rsid w:val="00777009"/>
    <w:rsid w:val="00782BE2"/>
    <w:rsid w:val="00786582"/>
    <w:rsid w:val="00786F65"/>
    <w:rsid w:val="00790BB9"/>
    <w:rsid w:val="007960FA"/>
    <w:rsid w:val="007A5014"/>
    <w:rsid w:val="00801C46"/>
    <w:rsid w:val="00805961"/>
    <w:rsid w:val="008116A6"/>
    <w:rsid w:val="00834C0B"/>
    <w:rsid w:val="00837371"/>
    <w:rsid w:val="00842841"/>
    <w:rsid w:val="00843329"/>
    <w:rsid w:val="00845F2B"/>
    <w:rsid w:val="00846E82"/>
    <w:rsid w:val="00861678"/>
    <w:rsid w:val="00870563"/>
    <w:rsid w:val="00873694"/>
    <w:rsid w:val="00875971"/>
    <w:rsid w:val="0088770C"/>
    <w:rsid w:val="008B3938"/>
    <w:rsid w:val="008D1DCC"/>
    <w:rsid w:val="008F740E"/>
    <w:rsid w:val="008F7CF7"/>
    <w:rsid w:val="009224E4"/>
    <w:rsid w:val="00941BF5"/>
    <w:rsid w:val="00947D49"/>
    <w:rsid w:val="009577C9"/>
    <w:rsid w:val="00975D6F"/>
    <w:rsid w:val="0098753D"/>
    <w:rsid w:val="00996B45"/>
    <w:rsid w:val="009C6720"/>
    <w:rsid w:val="009F283E"/>
    <w:rsid w:val="00A06DD5"/>
    <w:rsid w:val="00A2503E"/>
    <w:rsid w:val="00A3572D"/>
    <w:rsid w:val="00A35D56"/>
    <w:rsid w:val="00A47B88"/>
    <w:rsid w:val="00A55E8B"/>
    <w:rsid w:val="00A56514"/>
    <w:rsid w:val="00A673FE"/>
    <w:rsid w:val="00A8669C"/>
    <w:rsid w:val="00AA6F87"/>
    <w:rsid w:val="00AD4010"/>
    <w:rsid w:val="00AE28AD"/>
    <w:rsid w:val="00AE54F1"/>
    <w:rsid w:val="00AE5527"/>
    <w:rsid w:val="00AF4394"/>
    <w:rsid w:val="00B043B4"/>
    <w:rsid w:val="00B04624"/>
    <w:rsid w:val="00B05538"/>
    <w:rsid w:val="00B21B6E"/>
    <w:rsid w:val="00B34231"/>
    <w:rsid w:val="00B41B99"/>
    <w:rsid w:val="00B42D76"/>
    <w:rsid w:val="00B463EC"/>
    <w:rsid w:val="00B94D7F"/>
    <w:rsid w:val="00B9657B"/>
    <w:rsid w:val="00BD0648"/>
    <w:rsid w:val="00BD4EFE"/>
    <w:rsid w:val="00C01231"/>
    <w:rsid w:val="00C1002E"/>
    <w:rsid w:val="00C148F1"/>
    <w:rsid w:val="00C24816"/>
    <w:rsid w:val="00C256B2"/>
    <w:rsid w:val="00C26453"/>
    <w:rsid w:val="00C308AD"/>
    <w:rsid w:val="00C56E17"/>
    <w:rsid w:val="00C56E96"/>
    <w:rsid w:val="00C61523"/>
    <w:rsid w:val="00C7764A"/>
    <w:rsid w:val="00C810A6"/>
    <w:rsid w:val="00C83393"/>
    <w:rsid w:val="00C833D8"/>
    <w:rsid w:val="00C846EC"/>
    <w:rsid w:val="00C84C0B"/>
    <w:rsid w:val="00C920E3"/>
    <w:rsid w:val="00C973BF"/>
    <w:rsid w:val="00CB2252"/>
    <w:rsid w:val="00CC44B7"/>
    <w:rsid w:val="00CC67D5"/>
    <w:rsid w:val="00CD002B"/>
    <w:rsid w:val="00CD73CE"/>
    <w:rsid w:val="00CE2AE6"/>
    <w:rsid w:val="00CF625A"/>
    <w:rsid w:val="00D06C0B"/>
    <w:rsid w:val="00D15524"/>
    <w:rsid w:val="00D26471"/>
    <w:rsid w:val="00D30CB0"/>
    <w:rsid w:val="00D32250"/>
    <w:rsid w:val="00D4353A"/>
    <w:rsid w:val="00D529BD"/>
    <w:rsid w:val="00D5505D"/>
    <w:rsid w:val="00D55880"/>
    <w:rsid w:val="00D64EF1"/>
    <w:rsid w:val="00D71934"/>
    <w:rsid w:val="00D92FC6"/>
    <w:rsid w:val="00DB34A7"/>
    <w:rsid w:val="00DC4098"/>
    <w:rsid w:val="00DD1B7E"/>
    <w:rsid w:val="00DF2D98"/>
    <w:rsid w:val="00DF69DD"/>
    <w:rsid w:val="00E037B2"/>
    <w:rsid w:val="00E04B42"/>
    <w:rsid w:val="00E34B81"/>
    <w:rsid w:val="00E36485"/>
    <w:rsid w:val="00E4483C"/>
    <w:rsid w:val="00E5043A"/>
    <w:rsid w:val="00E740F1"/>
    <w:rsid w:val="00E853CB"/>
    <w:rsid w:val="00E9283A"/>
    <w:rsid w:val="00EA2800"/>
    <w:rsid w:val="00EA5743"/>
    <w:rsid w:val="00EA5DD5"/>
    <w:rsid w:val="00EF080E"/>
    <w:rsid w:val="00EF376F"/>
    <w:rsid w:val="00F04E7F"/>
    <w:rsid w:val="00F420F4"/>
    <w:rsid w:val="00F44DC1"/>
    <w:rsid w:val="00F458D6"/>
    <w:rsid w:val="00F50EA3"/>
    <w:rsid w:val="00F578D6"/>
    <w:rsid w:val="00F80AF2"/>
    <w:rsid w:val="00F94288"/>
    <w:rsid w:val="00F960FD"/>
    <w:rsid w:val="00FA602B"/>
    <w:rsid w:val="00FA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449C3039"/>
  <w15:docId w15:val="{8849952E-D9B6-4E00-BC94-9F77EB6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D6"/>
    <w:rPr>
      <w:sz w:val="24"/>
      <w:szCs w:val="24"/>
    </w:rPr>
  </w:style>
  <w:style w:type="paragraph" w:styleId="Heading1">
    <w:name w:val="heading 1"/>
    <w:basedOn w:val="Normal"/>
    <w:next w:val="Normal"/>
    <w:qFormat/>
    <w:rsid w:val="00CB2252"/>
    <w:pPr>
      <w:keepNext/>
      <w:ind w:left="-240"/>
      <w:outlineLvl w:val="0"/>
    </w:pPr>
    <w:rPr>
      <w:b/>
      <w:bCs/>
      <w:sz w:val="32"/>
    </w:rPr>
  </w:style>
  <w:style w:type="paragraph" w:styleId="Heading2">
    <w:name w:val="heading 2"/>
    <w:basedOn w:val="Normal"/>
    <w:next w:val="Normal"/>
    <w:qFormat/>
    <w:rsid w:val="00CB2252"/>
    <w:pPr>
      <w:keepNext/>
      <w:tabs>
        <w:tab w:val="left" w:pos="720"/>
      </w:tabs>
      <w:ind w:left="-840"/>
      <w:outlineLvl w:val="1"/>
    </w:pPr>
    <w:rPr>
      <w:b/>
      <w:bCs/>
      <w:sz w:val="20"/>
      <w:u w:val="single"/>
    </w:rPr>
  </w:style>
  <w:style w:type="paragraph" w:styleId="Heading3">
    <w:name w:val="heading 3"/>
    <w:basedOn w:val="Normal"/>
    <w:next w:val="Normal"/>
    <w:qFormat/>
    <w:rsid w:val="00CB2252"/>
    <w:pPr>
      <w:keepNext/>
      <w:ind w:left="-240" w:right="-720"/>
      <w:outlineLvl w:val="2"/>
    </w:pPr>
    <w:rPr>
      <w:b/>
      <w:bCs/>
      <w:u w:val="single"/>
    </w:rPr>
  </w:style>
  <w:style w:type="paragraph" w:styleId="Heading4">
    <w:name w:val="heading 4"/>
    <w:basedOn w:val="Normal"/>
    <w:next w:val="Normal"/>
    <w:qFormat/>
    <w:rsid w:val="00CB2252"/>
    <w:pPr>
      <w:keepNext/>
      <w:tabs>
        <w:tab w:val="left" w:pos="-1440"/>
      </w:tabs>
      <w:ind w:left="120" w:right="-720" w:hanging="360"/>
      <w:jc w:val="both"/>
      <w:outlineLvl w:val="3"/>
    </w:pPr>
    <w:rPr>
      <w:b/>
      <w:bCs/>
      <w:u w:val="single"/>
    </w:rPr>
  </w:style>
  <w:style w:type="paragraph" w:styleId="Heading6">
    <w:name w:val="heading 6"/>
    <w:basedOn w:val="Normal"/>
    <w:next w:val="Normal"/>
    <w:qFormat/>
    <w:rsid w:val="00CB2252"/>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252"/>
    <w:pPr>
      <w:tabs>
        <w:tab w:val="center" w:pos="4320"/>
        <w:tab w:val="right" w:pos="8640"/>
      </w:tabs>
    </w:pPr>
  </w:style>
  <w:style w:type="paragraph" w:styleId="BodyText2">
    <w:name w:val="Body Text 2"/>
    <w:basedOn w:val="Normal"/>
    <w:rsid w:val="00CB2252"/>
    <w:rPr>
      <w:sz w:val="20"/>
    </w:rPr>
  </w:style>
  <w:style w:type="paragraph" w:styleId="BodyText">
    <w:name w:val="Body Text"/>
    <w:basedOn w:val="Normal"/>
    <w:rsid w:val="00CB2252"/>
    <w:pPr>
      <w:jc w:val="center"/>
    </w:pPr>
    <w:rPr>
      <w:b/>
      <w:bCs/>
      <w:sz w:val="28"/>
    </w:rPr>
  </w:style>
  <w:style w:type="paragraph" w:styleId="Footer">
    <w:name w:val="footer"/>
    <w:basedOn w:val="Normal"/>
    <w:rsid w:val="00CB2252"/>
    <w:pPr>
      <w:tabs>
        <w:tab w:val="center" w:pos="4320"/>
        <w:tab w:val="right" w:pos="8640"/>
      </w:tabs>
    </w:pPr>
  </w:style>
  <w:style w:type="character" w:styleId="PageNumber">
    <w:name w:val="page number"/>
    <w:basedOn w:val="DefaultParagraphFont"/>
    <w:rsid w:val="00CB2252"/>
  </w:style>
  <w:style w:type="paragraph" w:styleId="BlockText">
    <w:name w:val="Block Text"/>
    <w:basedOn w:val="Normal"/>
    <w:rsid w:val="00CB2252"/>
    <w:pPr>
      <w:ind w:left="-240" w:right="-720"/>
    </w:pPr>
  </w:style>
  <w:style w:type="character" w:styleId="Hyperlink">
    <w:name w:val="Hyperlink"/>
    <w:basedOn w:val="DefaultParagraphFont"/>
    <w:rsid w:val="00CB2252"/>
    <w:rPr>
      <w:color w:val="0000FF"/>
      <w:u w:val="none"/>
    </w:rPr>
  </w:style>
  <w:style w:type="paragraph" w:styleId="BodyTextIndent">
    <w:name w:val="Body Text Indent"/>
    <w:basedOn w:val="Normal"/>
    <w:rsid w:val="00CB2252"/>
    <w:pPr>
      <w:overflowPunct w:val="0"/>
      <w:autoSpaceDE w:val="0"/>
      <w:autoSpaceDN w:val="0"/>
      <w:adjustRightInd w:val="0"/>
      <w:ind w:left="450" w:hanging="450"/>
      <w:textAlignment w:val="baseline"/>
    </w:pPr>
    <w:rPr>
      <w:szCs w:val="20"/>
    </w:rPr>
  </w:style>
  <w:style w:type="paragraph" w:styleId="BodyTextIndent2">
    <w:name w:val="Body Text Indent 2"/>
    <w:basedOn w:val="Normal"/>
    <w:rsid w:val="00CB2252"/>
    <w:pPr>
      <w:overflowPunct w:val="0"/>
      <w:autoSpaceDE w:val="0"/>
      <w:autoSpaceDN w:val="0"/>
      <w:adjustRightInd w:val="0"/>
      <w:ind w:left="720" w:hanging="360"/>
      <w:textAlignment w:val="baseline"/>
    </w:pPr>
    <w:rPr>
      <w:sz w:val="22"/>
      <w:szCs w:val="20"/>
    </w:rPr>
  </w:style>
  <w:style w:type="paragraph" w:styleId="BodyText3">
    <w:name w:val="Body Text 3"/>
    <w:basedOn w:val="Normal"/>
    <w:rsid w:val="00CB2252"/>
    <w:pPr>
      <w:autoSpaceDE w:val="0"/>
      <w:autoSpaceDN w:val="0"/>
      <w:adjustRightInd w:val="0"/>
    </w:pPr>
    <w:rPr>
      <w:rFonts w:ascii="Arial" w:hAnsi="Arial" w:cs="Arial"/>
      <w:sz w:val="18"/>
      <w:szCs w:val="23"/>
    </w:rPr>
  </w:style>
  <w:style w:type="character" w:styleId="FollowedHyperlink">
    <w:name w:val="FollowedHyperlink"/>
    <w:basedOn w:val="DefaultParagraphFont"/>
    <w:rsid w:val="00D92FC6"/>
    <w:rPr>
      <w:color w:val="800080"/>
      <w:u w:val="single"/>
    </w:rPr>
  </w:style>
  <w:style w:type="table" w:styleId="TableGrid">
    <w:name w:val="Table Grid"/>
    <w:basedOn w:val="TableNormal"/>
    <w:rsid w:val="006F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semiHidden/>
    <w:rsid w:val="006F02AC"/>
    <w:rPr>
      <w:rFonts w:eastAsia="Calibri"/>
      <w:sz w:val="21"/>
      <w:szCs w:val="21"/>
      <w:lang w:val="en-US" w:eastAsia="en-US" w:bidi="ar-SA"/>
    </w:rPr>
  </w:style>
  <w:style w:type="paragraph" w:styleId="PlainText">
    <w:name w:val="Plain Text"/>
    <w:basedOn w:val="Normal"/>
    <w:link w:val="PlainTextChar"/>
    <w:semiHidden/>
    <w:rsid w:val="006F02AC"/>
    <w:rPr>
      <w:rFonts w:eastAsia="Calibri"/>
      <w:sz w:val="21"/>
      <w:szCs w:val="21"/>
    </w:rPr>
  </w:style>
  <w:style w:type="paragraph" w:styleId="BalloonText">
    <w:name w:val="Balloon Text"/>
    <w:basedOn w:val="Normal"/>
    <w:semiHidden/>
    <w:rsid w:val="00616B35"/>
    <w:rPr>
      <w:rFonts w:ascii="Tahoma" w:hAnsi="Tahoma" w:cs="Tahoma"/>
      <w:sz w:val="16"/>
      <w:szCs w:val="16"/>
    </w:rPr>
  </w:style>
  <w:style w:type="character" w:styleId="CommentReference">
    <w:name w:val="annotation reference"/>
    <w:basedOn w:val="DefaultParagraphFont"/>
    <w:semiHidden/>
    <w:rsid w:val="00616B35"/>
    <w:rPr>
      <w:sz w:val="16"/>
      <w:szCs w:val="16"/>
    </w:rPr>
  </w:style>
  <w:style w:type="paragraph" w:styleId="CommentText">
    <w:name w:val="annotation text"/>
    <w:basedOn w:val="Normal"/>
    <w:semiHidden/>
    <w:rsid w:val="00616B35"/>
    <w:rPr>
      <w:sz w:val="20"/>
      <w:szCs w:val="20"/>
    </w:rPr>
  </w:style>
  <w:style w:type="paragraph" w:styleId="CommentSubject">
    <w:name w:val="annotation subject"/>
    <w:basedOn w:val="CommentText"/>
    <w:next w:val="CommentText"/>
    <w:semiHidden/>
    <w:rsid w:val="00616B35"/>
    <w:rPr>
      <w:b/>
      <w:bCs/>
    </w:rPr>
  </w:style>
  <w:style w:type="paragraph" w:styleId="NormalWeb">
    <w:name w:val="Normal (Web)"/>
    <w:basedOn w:val="Normal"/>
    <w:rsid w:val="00777009"/>
    <w:pPr>
      <w:spacing w:before="100" w:beforeAutospacing="1" w:after="100" w:afterAutospacing="1"/>
    </w:pPr>
  </w:style>
  <w:style w:type="paragraph" w:styleId="Revision">
    <w:name w:val="Revision"/>
    <w:hidden/>
    <w:uiPriority w:val="99"/>
    <w:semiHidden/>
    <w:rsid w:val="00D64EF1"/>
    <w:rPr>
      <w:sz w:val="24"/>
      <w:szCs w:val="24"/>
    </w:rPr>
  </w:style>
  <w:style w:type="character" w:customStyle="1" w:styleId="HeaderChar">
    <w:name w:val="Header Char"/>
    <w:basedOn w:val="DefaultParagraphFont"/>
    <w:link w:val="Header"/>
    <w:rsid w:val="00F50EA3"/>
    <w:rPr>
      <w:sz w:val="24"/>
      <w:szCs w:val="24"/>
    </w:rPr>
  </w:style>
  <w:style w:type="paragraph" w:styleId="ListParagraph">
    <w:name w:val="List Paragraph"/>
    <w:basedOn w:val="Normal"/>
    <w:uiPriority w:val="34"/>
    <w:qFormat/>
    <w:rsid w:val="009224E4"/>
    <w:pPr>
      <w:ind w:left="720"/>
      <w:contextualSpacing/>
    </w:pPr>
  </w:style>
  <w:style w:type="character" w:styleId="UnresolvedMention">
    <w:name w:val="Unresolved Mention"/>
    <w:basedOn w:val="DefaultParagraphFont"/>
    <w:uiPriority w:val="99"/>
    <w:semiHidden/>
    <w:unhideWhenUsed/>
    <w:rsid w:val="0022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518">
      <w:bodyDiv w:val="1"/>
      <w:marLeft w:val="0"/>
      <w:marRight w:val="0"/>
      <w:marTop w:val="0"/>
      <w:marBottom w:val="0"/>
      <w:divBdr>
        <w:top w:val="none" w:sz="0" w:space="0" w:color="auto"/>
        <w:left w:val="none" w:sz="0" w:space="0" w:color="auto"/>
        <w:bottom w:val="none" w:sz="0" w:space="0" w:color="auto"/>
        <w:right w:val="none" w:sz="0" w:space="0" w:color="auto"/>
      </w:divBdr>
    </w:div>
    <w:div w:id="659845403">
      <w:bodyDiv w:val="1"/>
      <w:marLeft w:val="0"/>
      <w:marRight w:val="0"/>
      <w:marTop w:val="0"/>
      <w:marBottom w:val="0"/>
      <w:divBdr>
        <w:top w:val="none" w:sz="0" w:space="0" w:color="auto"/>
        <w:left w:val="none" w:sz="0" w:space="0" w:color="auto"/>
        <w:bottom w:val="none" w:sz="0" w:space="0" w:color="auto"/>
        <w:right w:val="none" w:sz="0" w:space="0" w:color="auto"/>
      </w:divBdr>
    </w:div>
    <w:div w:id="8205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ne.gov/RuleAndR.nsf/RuleAndReg.xsp?documentId=924CB17840108057862565E700774D78&amp;action=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e.ne.gov/RuleAndR.nsf/RuleAndReg.xsp?documentId=1208D973CF94DB37862565E70076E6B8&amp;action=openDocu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dee.ne.gov/RuleAndR.nsf/RuleAndReg.xsp?documentId=688805B9B232CC24862565E70076317A&amp;action=openDocu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2774</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INSTRUCTIONS: Section 3</vt:lpstr>
    </vt:vector>
  </TitlesOfParts>
  <Company>NDEQ, State of Nebraska</Company>
  <LinksUpToDate>false</LinksUpToDate>
  <CharactersWithSpaces>20112</CharactersWithSpaces>
  <SharedDoc>false</SharedDoc>
  <HLinks>
    <vt:vector size="6" baseType="variant">
      <vt:variant>
        <vt:i4>7995429</vt:i4>
      </vt:variant>
      <vt:variant>
        <vt:i4>0</vt:i4>
      </vt:variant>
      <vt:variant>
        <vt:i4>0</vt:i4>
      </vt:variant>
      <vt:variant>
        <vt:i4>5</vt:i4>
      </vt:variant>
      <vt:variant>
        <vt:lpwstr>http://www.deq.state.ne.us/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Section 3</dc:title>
  <dc:creator>MS0242</dc:creator>
  <cp:lastModifiedBy>Bollman, Jeffrey</cp:lastModifiedBy>
  <cp:revision>8</cp:revision>
  <cp:lastPrinted>2022-09-29T22:15:00Z</cp:lastPrinted>
  <dcterms:created xsi:type="dcterms:W3CDTF">2022-08-23T13:27:00Z</dcterms:created>
  <dcterms:modified xsi:type="dcterms:W3CDTF">2022-09-29T22:15:00Z</dcterms:modified>
</cp:coreProperties>
</file>